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AD3C55" w:rsidRDefault="00E758AE" w:rsidP="00E758AE">
      <w:pPr>
        <w:rPr>
          <w:rFonts w:ascii="Arial" w:hAnsi="Arial" w:cs="Arial"/>
          <w:color w:val="000000" w:themeColor="text1"/>
        </w:rPr>
      </w:pPr>
    </w:p>
    <w:p w14:paraId="46B350B0" w14:textId="77777777" w:rsidR="00E758AE" w:rsidRPr="00AD3C55" w:rsidRDefault="00E758AE" w:rsidP="00E758AE">
      <w:pPr>
        <w:pStyle w:val="Title"/>
        <w:spacing w:after="440"/>
        <w:rPr>
          <w:color w:val="000000" w:themeColor="text1"/>
          <w:szCs w:val="72"/>
        </w:rPr>
      </w:pPr>
    </w:p>
    <w:p w14:paraId="682B4FB2" w14:textId="77777777" w:rsidR="00E758AE" w:rsidRPr="00AD3C55" w:rsidRDefault="00E758AE" w:rsidP="00E758AE">
      <w:pPr>
        <w:pStyle w:val="Title"/>
        <w:spacing w:after="440"/>
        <w:rPr>
          <w:color w:val="000000" w:themeColor="text1"/>
          <w:szCs w:val="72"/>
        </w:rPr>
      </w:pPr>
      <w:r w:rsidRPr="00AD3C55">
        <w:rPr>
          <w:color w:val="000000" w:themeColor="text1"/>
          <w:szCs w:val="72"/>
        </w:rPr>
        <w:t xml:space="preserve">Lesson plan </w:t>
      </w:r>
    </w:p>
    <w:p w14:paraId="42A20E10" w14:textId="77777777" w:rsidR="007A26A3" w:rsidRPr="00AD3C55" w:rsidRDefault="007A26A3" w:rsidP="007A26A3">
      <w:pPr>
        <w:pStyle w:val="Title"/>
        <w:spacing w:after="440"/>
        <w:rPr>
          <w:color w:val="000000" w:themeColor="text1"/>
          <w:szCs w:val="72"/>
        </w:rPr>
      </w:pPr>
      <w:r w:rsidRPr="00AD3C55">
        <w:rPr>
          <w:bCs/>
          <w:color w:val="000000" w:themeColor="text1"/>
          <w:szCs w:val="72"/>
          <w:lang w:val="en-US"/>
        </w:rPr>
        <w:t>Converting between metric and imperial units</w:t>
      </w:r>
    </w:p>
    <w:p w14:paraId="0B7D127C" w14:textId="77777777" w:rsidR="00E758AE" w:rsidRPr="003A7245" w:rsidRDefault="00E758AE" w:rsidP="00E758AE">
      <w:pPr>
        <w:pStyle w:val="Centrelesresourcesheading"/>
      </w:pPr>
      <w:bookmarkStart w:id="0" w:name="_Toc75160785"/>
      <w:bookmarkStart w:id="1" w:name="_Toc111717009"/>
      <w:r w:rsidRPr="003A7245">
        <w:t>1. Lesson objectives</w:t>
      </w:r>
      <w:bookmarkEnd w:id="0"/>
      <w:bookmarkEnd w:id="1"/>
    </w:p>
    <w:p w14:paraId="671B349D" w14:textId="753246B9" w:rsidR="00E924DD" w:rsidRPr="00AD3C55" w:rsidRDefault="00E924DD" w:rsidP="00E924D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AD3C55">
        <w:rPr>
          <w:color w:val="000000" w:themeColor="text1"/>
        </w:rPr>
        <w:t>Use graphs</w:t>
      </w:r>
      <w:r w:rsidR="007A26A3" w:rsidRPr="00AD3C55">
        <w:rPr>
          <w:color w:val="000000" w:themeColor="text1"/>
        </w:rPr>
        <w:t xml:space="preserve"> and ratio tables</w:t>
      </w:r>
      <w:r w:rsidRPr="00AD3C55">
        <w:rPr>
          <w:color w:val="000000" w:themeColor="text1"/>
        </w:rPr>
        <w:t xml:space="preserve"> to convert </w:t>
      </w:r>
      <w:r w:rsidR="007A26A3" w:rsidRPr="00AD3C55">
        <w:rPr>
          <w:color w:val="000000" w:themeColor="text1"/>
        </w:rPr>
        <w:t>between units of measure</w:t>
      </w:r>
    </w:p>
    <w:p w14:paraId="0E189651" w14:textId="27591244" w:rsidR="00E924DD" w:rsidRPr="00AD3C55" w:rsidRDefault="00E924DD" w:rsidP="00E924D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AD3C55">
        <w:rPr>
          <w:color w:val="000000" w:themeColor="text1"/>
        </w:rPr>
        <w:t>Understand how to use double number lines to provide insight into solving conversion problems</w:t>
      </w:r>
    </w:p>
    <w:p w14:paraId="1B6E0BD9" w14:textId="1F1E6FD4" w:rsidR="00E758AE" w:rsidRPr="00AD3C55" w:rsidRDefault="00E924DD" w:rsidP="00E758A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AD3C55">
        <w:rPr>
          <w:color w:val="000000" w:themeColor="text1"/>
        </w:rPr>
        <w:t>Use approximation to check conversion calculations</w:t>
      </w:r>
    </w:p>
    <w:p w14:paraId="67C938E1" w14:textId="5D286622" w:rsidR="00E758AE" w:rsidRPr="003A7245" w:rsidRDefault="00E758AE" w:rsidP="00E758AE">
      <w:pPr>
        <w:pStyle w:val="Centrelesresourcesheading"/>
      </w:pPr>
      <w:bookmarkStart w:id="2" w:name="_Toc111717008"/>
      <w:r w:rsidRPr="003A7245">
        <w:t xml:space="preserve">2. </w:t>
      </w:r>
      <w:r w:rsidR="007A26A3" w:rsidRPr="003A7245">
        <w:t xml:space="preserve">Functional </w:t>
      </w:r>
      <w:r w:rsidR="00087E4C" w:rsidRPr="003A7245">
        <w:t>S</w:t>
      </w:r>
      <w:r w:rsidR="007A26A3" w:rsidRPr="003A7245">
        <w:t>kills</w:t>
      </w:r>
      <w:r w:rsidRPr="003A7245">
        <w:t xml:space="preserve"> </w:t>
      </w:r>
      <w:r w:rsidR="003A7245">
        <w:t xml:space="preserve">Level 2 </w:t>
      </w:r>
      <w:r w:rsidRPr="003A7245">
        <w:t>curriculum</w:t>
      </w:r>
      <w:bookmarkEnd w:id="2"/>
    </w:p>
    <w:p w14:paraId="227718F4" w14:textId="77777777" w:rsidR="007A26A3" w:rsidRPr="00AD3C55" w:rsidRDefault="007A26A3" w:rsidP="007A26A3">
      <w:pPr>
        <w:pStyle w:val="NormalWeb"/>
        <w:rPr>
          <w:rFonts w:ascii="ArialMT" w:hAnsi="ArialMT"/>
          <w:b/>
          <w:bCs/>
          <w:color w:val="000000" w:themeColor="text1"/>
        </w:rPr>
      </w:pPr>
      <w:r w:rsidRPr="00AD3C55">
        <w:rPr>
          <w:rFonts w:ascii="ArialMT" w:hAnsi="ArialMT"/>
          <w:b/>
          <w:bCs/>
          <w:color w:val="000000" w:themeColor="text1"/>
        </w:rPr>
        <w:t>Measures, shape and space</w:t>
      </w:r>
    </w:p>
    <w:p w14:paraId="44A97926" w14:textId="7ED5F992" w:rsidR="00E758AE" w:rsidRPr="00AD3C55" w:rsidRDefault="007A26A3" w:rsidP="00687B82">
      <w:pPr>
        <w:pStyle w:val="NormalWeb"/>
        <w:rPr>
          <w:rFonts w:ascii="ArialMT" w:hAnsi="ArialMT"/>
          <w:color w:val="000000" w:themeColor="text1"/>
        </w:rPr>
      </w:pPr>
      <w:r w:rsidRPr="00AD3C55">
        <w:rPr>
          <w:rFonts w:ascii="ArialMT" w:hAnsi="ArialMT"/>
          <w:b/>
          <w:bCs/>
          <w:color w:val="000000" w:themeColor="text1"/>
        </w:rPr>
        <w:t>14</w:t>
      </w:r>
      <w:r w:rsidRPr="00AD3C55">
        <w:rPr>
          <w:rFonts w:ascii="ArialMT" w:hAnsi="ArialMT"/>
          <w:color w:val="000000" w:themeColor="text1"/>
        </w:rPr>
        <w:t xml:space="preserve"> </w:t>
      </w:r>
      <w:r w:rsidR="00A82BD6" w:rsidRPr="00AD3C55">
        <w:rPr>
          <w:rFonts w:ascii="ArialMT" w:hAnsi="ArialMT"/>
          <w:color w:val="000000" w:themeColor="text1"/>
        </w:rPr>
        <w:t>c</w:t>
      </w:r>
      <w:r w:rsidRPr="00AD3C55">
        <w:rPr>
          <w:rFonts w:ascii="ArialMT" w:hAnsi="ArialMT"/>
          <w:color w:val="000000" w:themeColor="text1"/>
        </w:rPr>
        <w:t xml:space="preserve">onvert between metric and imperial units of length, weight and capacity using </w:t>
      </w:r>
      <w:r w:rsidR="00AD3C55">
        <w:rPr>
          <w:rFonts w:ascii="ArialMT" w:hAnsi="ArialMT"/>
          <w:color w:val="000000" w:themeColor="text1"/>
        </w:rPr>
        <w:t xml:space="preserve">        </w:t>
      </w:r>
      <w:r w:rsidRPr="00E14762">
        <w:rPr>
          <w:rFonts w:ascii="ArialMT" w:hAnsi="ArialMT"/>
          <w:b/>
          <w:bCs/>
          <w:color w:val="000000" w:themeColor="text1"/>
        </w:rPr>
        <w:t>a)</w:t>
      </w:r>
      <w:r w:rsidRPr="00AD3C55">
        <w:rPr>
          <w:rFonts w:ascii="ArialMT" w:hAnsi="ArialMT"/>
          <w:color w:val="000000" w:themeColor="text1"/>
        </w:rPr>
        <w:t xml:space="preserve"> a conversion factor and </w:t>
      </w:r>
      <w:r w:rsidRPr="00E14762">
        <w:rPr>
          <w:rFonts w:ascii="ArialMT" w:hAnsi="ArialMT"/>
          <w:b/>
          <w:bCs/>
          <w:color w:val="000000" w:themeColor="text1"/>
        </w:rPr>
        <w:t>b)</w:t>
      </w:r>
      <w:r w:rsidRPr="00AD3C55">
        <w:rPr>
          <w:rFonts w:ascii="ArialMT" w:hAnsi="ArialMT"/>
          <w:color w:val="000000" w:themeColor="text1"/>
        </w:rPr>
        <w:t xml:space="preserve"> a conversion graph </w:t>
      </w:r>
    </w:p>
    <w:p w14:paraId="7D932682" w14:textId="1139562B" w:rsidR="00E758AE" w:rsidRPr="00AD3C55" w:rsidRDefault="00E758AE" w:rsidP="00E758AE">
      <w:pPr>
        <w:rPr>
          <w:rFonts w:ascii="Arial" w:hAnsi="Arial" w:cs="Arial"/>
          <w:color w:val="000000" w:themeColor="text1"/>
        </w:rPr>
      </w:pPr>
    </w:p>
    <w:p w14:paraId="5FAB7CB8" w14:textId="50DC9B86" w:rsidR="00E758AE" w:rsidRPr="00AD3C55" w:rsidRDefault="00E758AE" w:rsidP="00E758AE">
      <w:pPr>
        <w:rPr>
          <w:rFonts w:ascii="Arial" w:hAnsi="Arial" w:cs="Arial"/>
          <w:color w:val="000000" w:themeColor="text1"/>
        </w:rPr>
      </w:pPr>
    </w:p>
    <w:p w14:paraId="3A47471C" w14:textId="5B7FD86F" w:rsidR="00E758AE" w:rsidRPr="00AD3C55" w:rsidRDefault="00E758AE" w:rsidP="00E758AE">
      <w:pPr>
        <w:rPr>
          <w:rFonts w:ascii="Arial" w:hAnsi="Arial" w:cs="Arial"/>
          <w:color w:val="000000" w:themeColor="text1"/>
        </w:rPr>
      </w:pPr>
    </w:p>
    <w:p w14:paraId="529EFD4E" w14:textId="38687127" w:rsidR="00E758AE" w:rsidRPr="00AD3C55" w:rsidRDefault="00E758AE" w:rsidP="00E758AE">
      <w:pPr>
        <w:rPr>
          <w:rFonts w:ascii="Arial" w:hAnsi="Arial" w:cs="Arial"/>
          <w:color w:val="000000" w:themeColor="text1"/>
        </w:rPr>
      </w:pPr>
    </w:p>
    <w:p w14:paraId="19C9BA84" w14:textId="6B050928" w:rsidR="00E758AE" w:rsidRPr="00AD3C55" w:rsidRDefault="00E758AE" w:rsidP="00E758AE">
      <w:pPr>
        <w:rPr>
          <w:rFonts w:ascii="Arial" w:hAnsi="Arial" w:cs="Arial"/>
          <w:color w:val="000000" w:themeColor="text1"/>
        </w:rPr>
      </w:pPr>
    </w:p>
    <w:p w14:paraId="6407C231" w14:textId="18B1BADA" w:rsidR="00E758AE" w:rsidRPr="00AD3C55" w:rsidRDefault="00E758AE" w:rsidP="00E758AE">
      <w:pPr>
        <w:rPr>
          <w:rFonts w:ascii="Arial" w:hAnsi="Arial" w:cs="Arial"/>
          <w:color w:val="000000" w:themeColor="text1"/>
        </w:rPr>
      </w:pPr>
    </w:p>
    <w:p w14:paraId="755A09FE" w14:textId="1A3E5C72" w:rsidR="00E758AE" w:rsidRPr="00AD3C55" w:rsidRDefault="00E758AE" w:rsidP="00E758AE">
      <w:pPr>
        <w:rPr>
          <w:rFonts w:ascii="Arial" w:hAnsi="Arial" w:cs="Arial"/>
          <w:color w:val="000000" w:themeColor="text1"/>
        </w:rPr>
      </w:pPr>
    </w:p>
    <w:p w14:paraId="3EF3DD5C" w14:textId="77777777" w:rsidR="00E758AE" w:rsidRPr="00AD3C55" w:rsidRDefault="00E758AE" w:rsidP="00E758AE">
      <w:pPr>
        <w:pStyle w:val="Centrelesresourcesheading"/>
        <w:spacing w:after="0"/>
        <w:rPr>
          <w:color w:val="000000" w:themeColor="text1"/>
        </w:rPr>
        <w:sectPr w:rsidR="00E758AE" w:rsidRPr="00AD3C55" w:rsidSect="00E758AE"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Pr="003A7245" w:rsidRDefault="00E758AE" w:rsidP="00E758AE">
      <w:pPr>
        <w:pStyle w:val="Centrelesresourcesheading"/>
        <w:spacing w:after="0"/>
      </w:pPr>
      <w:r w:rsidRPr="003A7245">
        <w:lastRenderedPageBreak/>
        <w:t>3. Lesson plan</w:t>
      </w:r>
    </w:p>
    <w:p w14:paraId="27D13B45" w14:textId="77777777" w:rsidR="00D632F3" w:rsidRPr="00AD3C55" w:rsidRDefault="00D632F3" w:rsidP="00410E09">
      <w:pPr>
        <w:rPr>
          <w:rFonts w:ascii="Arial" w:hAnsi="Arial" w:cs="Arial"/>
          <w:color w:val="000000" w:themeColor="text1"/>
        </w:rPr>
      </w:pPr>
    </w:p>
    <w:p w14:paraId="068C2819" w14:textId="7EFC157C" w:rsidR="00410E09" w:rsidRPr="00AD3C55" w:rsidRDefault="00410E09" w:rsidP="00410E09">
      <w:pPr>
        <w:rPr>
          <w:rFonts w:ascii="Arial" w:hAnsi="Arial" w:cs="Arial"/>
          <w:color w:val="000000" w:themeColor="text1"/>
        </w:rPr>
      </w:pPr>
      <w:r w:rsidRPr="00AD3C55">
        <w:rPr>
          <w:rFonts w:ascii="Arial" w:hAnsi="Arial" w:cs="Arial"/>
          <w:color w:val="000000" w:themeColor="text1"/>
        </w:rPr>
        <w:t>This is an overview of the lesson.</w:t>
      </w:r>
      <w:r w:rsidRPr="00AD3C55">
        <w:rPr>
          <w:rFonts w:ascii="Arial" w:hAnsi="Arial" w:cs="Arial"/>
          <w:color w:val="000000" w:themeColor="text1"/>
        </w:rPr>
        <w:tab/>
        <w:t>More notes can be found in the notes in the lesson slides.</w:t>
      </w: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713A48" w:rsidRPr="00713A48" w14:paraId="7A45630B" w14:textId="77777777" w:rsidTr="000A4749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AD3C55" w:rsidRDefault="00E758AE" w:rsidP="000A4749">
            <w:pPr>
              <w:pStyle w:val="Tableheader"/>
              <w:keepNext/>
              <w:jc w:val="center"/>
              <w:rPr>
                <w:color w:val="000000" w:themeColor="text1"/>
              </w:rPr>
            </w:pPr>
            <w:r w:rsidRPr="00AD3C55">
              <w:rPr>
                <w:color w:val="000000" w:themeColor="text1"/>
              </w:rPr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AD3C55" w:rsidRDefault="00E758AE" w:rsidP="000A4749">
            <w:pPr>
              <w:pStyle w:val="Tableheader"/>
              <w:jc w:val="center"/>
              <w:rPr>
                <w:color w:val="000000" w:themeColor="text1"/>
              </w:rPr>
            </w:pPr>
            <w:r w:rsidRPr="00AD3C55">
              <w:rPr>
                <w:color w:val="000000" w:themeColor="text1"/>
              </w:rPr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AD3C55" w:rsidRDefault="00E758AE" w:rsidP="000A4749">
            <w:pPr>
              <w:pStyle w:val="Tableheader"/>
              <w:jc w:val="center"/>
              <w:rPr>
                <w:color w:val="000000" w:themeColor="text1"/>
              </w:rPr>
            </w:pPr>
            <w:r w:rsidRPr="00AD3C55">
              <w:rPr>
                <w:color w:val="000000" w:themeColor="text1"/>
              </w:rPr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AD3C55" w:rsidRDefault="00E758AE" w:rsidP="000A4749">
            <w:pPr>
              <w:pStyle w:val="Tableheader"/>
              <w:jc w:val="center"/>
              <w:rPr>
                <w:color w:val="000000" w:themeColor="text1"/>
              </w:rPr>
            </w:pPr>
            <w:r w:rsidRPr="00AD3C55">
              <w:rPr>
                <w:color w:val="000000" w:themeColor="text1"/>
              </w:rPr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AD3C55" w:rsidRDefault="00E758AE" w:rsidP="000A4749">
            <w:pPr>
              <w:pStyle w:val="Tableheader"/>
              <w:jc w:val="center"/>
              <w:rPr>
                <w:color w:val="000000" w:themeColor="text1"/>
              </w:rPr>
            </w:pPr>
            <w:r w:rsidRPr="00AD3C55">
              <w:rPr>
                <w:color w:val="000000" w:themeColor="text1"/>
              </w:rPr>
              <w:t>Materials</w:t>
            </w:r>
          </w:p>
        </w:tc>
      </w:tr>
      <w:tr w:rsidR="00713A48" w:rsidRPr="00713A48" w14:paraId="098BE001" w14:textId="77777777" w:rsidTr="000A4749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F5836C" w14:textId="7C3F5F1E" w:rsidR="00E924DD" w:rsidRPr="00AD3C55" w:rsidRDefault="00E924DD" w:rsidP="00E924DD">
            <w:pPr>
              <w:keepNext/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Introduction</w:t>
            </w:r>
          </w:p>
        </w:tc>
        <w:tc>
          <w:tcPr>
            <w:tcW w:w="2275" w:type="dxa"/>
          </w:tcPr>
          <w:p w14:paraId="2FBFABC3" w14:textId="0B1EE853" w:rsidR="00E924DD" w:rsidRPr="00AD3C55" w:rsidRDefault="00B3542B" w:rsidP="00E924DD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To i</w:t>
            </w:r>
            <w:r w:rsidR="00E924DD" w:rsidRPr="00AD3C55">
              <w:rPr>
                <w:rFonts w:ascii="Arial" w:hAnsi="Arial" w:cs="Arial"/>
                <w:color w:val="000000" w:themeColor="text1"/>
              </w:rPr>
              <w:t>ntroduc</w:t>
            </w:r>
            <w:r w:rsidRPr="00AD3C55">
              <w:rPr>
                <w:rFonts w:ascii="Arial" w:hAnsi="Arial" w:cs="Arial"/>
                <w:color w:val="000000" w:themeColor="text1"/>
              </w:rPr>
              <w:t>e</w:t>
            </w:r>
            <w:r w:rsidR="00E924DD" w:rsidRPr="00AD3C55">
              <w:rPr>
                <w:rFonts w:ascii="Arial" w:hAnsi="Arial" w:cs="Arial"/>
                <w:color w:val="000000" w:themeColor="text1"/>
              </w:rPr>
              <w:t xml:space="preserve"> the concept of </w:t>
            </w:r>
            <w:r w:rsidR="007A26A3" w:rsidRPr="00AD3C55">
              <w:rPr>
                <w:rFonts w:ascii="Arial" w:hAnsi="Arial" w:cs="Arial"/>
                <w:color w:val="000000" w:themeColor="text1"/>
              </w:rPr>
              <w:t>converting between metric and imperial units</w:t>
            </w:r>
            <w:r w:rsidR="007A26A3" w:rsidRPr="00AD3C55" w:rsidDel="007A26A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A26A3" w:rsidRPr="00AD3C55">
              <w:rPr>
                <w:rFonts w:ascii="Arial" w:hAnsi="Arial" w:cs="Arial"/>
                <w:color w:val="000000" w:themeColor="text1"/>
              </w:rPr>
              <w:t xml:space="preserve">and </w:t>
            </w:r>
            <w:r w:rsidRPr="00AD3C55">
              <w:rPr>
                <w:rFonts w:ascii="Arial" w:hAnsi="Arial" w:cs="Arial"/>
                <w:color w:val="000000" w:themeColor="text1"/>
              </w:rPr>
              <w:t>to a</w:t>
            </w:r>
            <w:r w:rsidR="00E924DD" w:rsidRPr="00AD3C55">
              <w:rPr>
                <w:rFonts w:ascii="Arial" w:hAnsi="Arial" w:cs="Arial"/>
                <w:color w:val="000000" w:themeColor="text1"/>
              </w:rPr>
              <w:t xml:space="preserve">ssess prior </w:t>
            </w:r>
            <w:r w:rsidR="00530EF1" w:rsidRPr="00AD3C55">
              <w:rPr>
                <w:rFonts w:ascii="Arial" w:hAnsi="Arial" w:cs="Arial"/>
                <w:color w:val="000000" w:themeColor="text1"/>
              </w:rPr>
              <w:t>knowledge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D3666" w14:textId="6CA979FE" w:rsidR="00E924DD" w:rsidRPr="00AD3C55" w:rsidRDefault="007A26A3" w:rsidP="00E924D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1</w:t>
            </w:r>
            <w:r w:rsidR="00E924DD" w:rsidRPr="00AD3C55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ACD6B6" w14:textId="77777777" w:rsidR="00801367" w:rsidRPr="00AD3C55" w:rsidRDefault="00801367" w:rsidP="00E924DD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 xml:space="preserve">Introduce the context of the lesson and the objectives. </w:t>
            </w:r>
          </w:p>
          <w:p w14:paraId="039D1311" w14:textId="77777777" w:rsidR="00801367" w:rsidRPr="00AD3C55" w:rsidRDefault="00801367" w:rsidP="00E924DD">
            <w:pPr>
              <w:rPr>
                <w:rFonts w:ascii="Arial" w:hAnsi="Arial" w:cs="Arial"/>
                <w:color w:val="000000" w:themeColor="text1"/>
              </w:rPr>
            </w:pPr>
          </w:p>
          <w:p w14:paraId="4FA48783" w14:textId="5B269534" w:rsidR="007A26A3" w:rsidRPr="00AD3C55" w:rsidRDefault="007A26A3" w:rsidP="007A26A3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Check learners’ knowledge of the units on a tape measure, and how it can be used to show approximate equivalence between metric and imperial</w:t>
            </w:r>
            <w:r w:rsidR="00905CC5" w:rsidRPr="00AD3C55">
              <w:rPr>
                <w:rFonts w:ascii="Arial" w:hAnsi="Arial" w:cs="Arial"/>
                <w:color w:val="000000" w:themeColor="text1"/>
              </w:rPr>
              <w:t xml:space="preserve"> units</w:t>
            </w:r>
            <w:r w:rsidRPr="00AD3C55">
              <w:rPr>
                <w:rFonts w:ascii="Arial" w:hAnsi="Arial" w:cs="Arial"/>
                <w:color w:val="000000" w:themeColor="text1"/>
              </w:rPr>
              <w:t>.</w:t>
            </w:r>
          </w:p>
          <w:p w14:paraId="75EF9D21" w14:textId="77777777" w:rsidR="007A26A3" w:rsidRPr="00AD3C55" w:rsidRDefault="007A26A3" w:rsidP="007A26A3">
            <w:pPr>
              <w:rPr>
                <w:rFonts w:ascii="Arial" w:hAnsi="Arial" w:cs="Arial"/>
                <w:color w:val="000000" w:themeColor="text1"/>
              </w:rPr>
            </w:pPr>
          </w:p>
          <w:p w14:paraId="4C8CC9BC" w14:textId="4A606942" w:rsidR="00DC0194" w:rsidRPr="00AD3C55" w:rsidRDefault="007A26A3" w:rsidP="00B36C91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Make the link with a ratio table and how this can be used to calculate approximate equivalences.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C67EEF" w14:textId="6FB2F4DF" w:rsidR="00E924DD" w:rsidRPr="00AD3C55" w:rsidRDefault="00E924DD" w:rsidP="00E924DD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Slide</w:t>
            </w:r>
            <w:r w:rsidR="00801367" w:rsidRPr="00AD3C55">
              <w:rPr>
                <w:rFonts w:ascii="Arial" w:hAnsi="Arial" w:cs="Arial"/>
                <w:color w:val="000000" w:themeColor="text1"/>
              </w:rPr>
              <w:t>s 1–</w:t>
            </w:r>
            <w:r w:rsidR="007A26A3" w:rsidRPr="00AD3C55">
              <w:rPr>
                <w:rFonts w:ascii="Arial" w:hAnsi="Arial" w:cs="Arial"/>
                <w:color w:val="000000" w:themeColor="text1"/>
              </w:rPr>
              <w:t>3</w:t>
            </w:r>
          </w:p>
          <w:p w14:paraId="500895DE" w14:textId="77777777" w:rsidR="007A26A3" w:rsidRPr="00AD3C55" w:rsidRDefault="007A26A3" w:rsidP="00E924DD">
            <w:pPr>
              <w:rPr>
                <w:rFonts w:ascii="Arial" w:hAnsi="Arial" w:cs="Arial"/>
                <w:color w:val="000000" w:themeColor="text1"/>
              </w:rPr>
            </w:pPr>
          </w:p>
          <w:p w14:paraId="1310E0C7" w14:textId="48565060" w:rsidR="007A26A3" w:rsidRPr="00AD3C55" w:rsidRDefault="007A26A3" w:rsidP="00E924DD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Mini whiteboards</w:t>
            </w:r>
          </w:p>
        </w:tc>
      </w:tr>
      <w:tr w:rsidR="00713A48" w:rsidRPr="00713A48" w14:paraId="1B4D7C5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1D3232" w14:textId="5AF29761" w:rsidR="00E924DD" w:rsidRPr="00AD3C55" w:rsidRDefault="00E924DD" w:rsidP="00E924DD">
            <w:pPr>
              <w:keepNext/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Explore 1</w:t>
            </w:r>
          </w:p>
        </w:tc>
        <w:tc>
          <w:tcPr>
            <w:tcW w:w="2275" w:type="dxa"/>
          </w:tcPr>
          <w:p w14:paraId="391B8BF8" w14:textId="3BC37080" w:rsidR="00E924DD" w:rsidRPr="00AD3C55" w:rsidRDefault="00B3542B" w:rsidP="00E924DD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To carry out a c</w:t>
            </w:r>
            <w:r w:rsidR="00E924DD" w:rsidRPr="00AD3C55">
              <w:rPr>
                <w:rFonts w:ascii="Arial" w:hAnsi="Arial" w:cs="Arial"/>
                <w:color w:val="000000" w:themeColor="text1"/>
              </w:rPr>
              <w:t xml:space="preserve">ollaborative exploration and </w:t>
            </w:r>
            <w:r w:rsidR="00093534" w:rsidRPr="00AD3C55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E924DD" w:rsidRPr="00AD3C55">
              <w:rPr>
                <w:rFonts w:ascii="Arial" w:hAnsi="Arial" w:cs="Arial"/>
                <w:color w:val="000000" w:themeColor="text1"/>
              </w:rPr>
              <w:t xml:space="preserve">use of graph to develop the construction/use of </w:t>
            </w:r>
            <w:r w:rsidR="002261EC" w:rsidRPr="00AD3C55">
              <w:rPr>
                <w:rFonts w:ascii="Arial" w:hAnsi="Arial" w:cs="Arial"/>
                <w:color w:val="000000" w:themeColor="text1"/>
              </w:rPr>
              <w:t>double number line</w:t>
            </w:r>
            <w:r w:rsidR="001D64E9" w:rsidRPr="00AD3C55">
              <w:rPr>
                <w:rFonts w:ascii="Arial" w:hAnsi="Arial" w:cs="Arial"/>
                <w:color w:val="000000" w:themeColor="text1"/>
              </w:rPr>
              <w:t>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580D5" w14:textId="33686BBE" w:rsidR="00E924DD" w:rsidRPr="00AD3C55" w:rsidRDefault="00E924DD" w:rsidP="00E924D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F8B5B6" w14:textId="78C60406" w:rsidR="00E924DD" w:rsidRPr="00AD3C55" w:rsidRDefault="00E924DD" w:rsidP="00E924DD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In pairs</w:t>
            </w:r>
            <w:r w:rsidR="008A6762" w:rsidRPr="00AD3C55">
              <w:rPr>
                <w:rFonts w:ascii="Arial" w:hAnsi="Arial" w:cs="Arial"/>
                <w:color w:val="000000" w:themeColor="text1"/>
              </w:rPr>
              <w:t>, using the graph provided,</w:t>
            </w:r>
            <w:r w:rsidRPr="00AD3C5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F53D3" w:rsidRPr="00AD3C55">
              <w:rPr>
                <w:rFonts w:ascii="Arial" w:hAnsi="Arial" w:cs="Arial"/>
                <w:color w:val="000000" w:themeColor="text1"/>
              </w:rPr>
              <w:t xml:space="preserve">learners </w:t>
            </w:r>
            <w:r w:rsidRPr="00AD3C55">
              <w:rPr>
                <w:rFonts w:ascii="Arial" w:hAnsi="Arial" w:cs="Arial"/>
                <w:color w:val="000000" w:themeColor="text1"/>
              </w:rPr>
              <w:t xml:space="preserve">calculate how much </w:t>
            </w:r>
            <w:r w:rsidR="007A26A3" w:rsidRPr="00AD3C55">
              <w:rPr>
                <w:rFonts w:ascii="Arial" w:hAnsi="Arial" w:cs="Arial"/>
                <w:color w:val="000000" w:themeColor="text1"/>
              </w:rPr>
              <w:t>500</w:t>
            </w:r>
            <w:r w:rsidR="00440E7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A26A3" w:rsidRPr="00AD3C55">
              <w:rPr>
                <w:rFonts w:ascii="Arial" w:hAnsi="Arial" w:cs="Arial"/>
                <w:color w:val="000000" w:themeColor="text1"/>
              </w:rPr>
              <w:t xml:space="preserve">cm is in inches and </w:t>
            </w:r>
            <w:r w:rsidRPr="00AD3C55">
              <w:rPr>
                <w:rFonts w:ascii="Arial" w:hAnsi="Arial" w:cs="Arial"/>
                <w:color w:val="000000" w:themeColor="text1"/>
              </w:rPr>
              <w:t xml:space="preserve">are asked to construct tables or </w:t>
            </w:r>
            <w:r w:rsidR="001C1667" w:rsidRPr="00AD3C55">
              <w:rPr>
                <w:rFonts w:ascii="Arial" w:hAnsi="Arial" w:cs="Arial"/>
                <w:color w:val="000000" w:themeColor="text1"/>
              </w:rPr>
              <w:t xml:space="preserve">to </w:t>
            </w:r>
            <w:r w:rsidRPr="00AD3C55">
              <w:rPr>
                <w:rFonts w:ascii="Arial" w:hAnsi="Arial" w:cs="Arial"/>
                <w:color w:val="000000" w:themeColor="text1"/>
              </w:rPr>
              <w:t xml:space="preserve">use </w:t>
            </w:r>
            <w:r w:rsidR="002261EC" w:rsidRPr="00AD3C55">
              <w:rPr>
                <w:rFonts w:ascii="Arial" w:hAnsi="Arial" w:cs="Arial"/>
                <w:color w:val="000000" w:themeColor="text1"/>
              </w:rPr>
              <w:t xml:space="preserve">a double number line </w:t>
            </w:r>
            <w:r w:rsidRPr="00AD3C55">
              <w:rPr>
                <w:rFonts w:ascii="Arial" w:hAnsi="Arial" w:cs="Arial"/>
                <w:color w:val="000000" w:themeColor="text1"/>
              </w:rPr>
              <w:t xml:space="preserve">to explain their thinking. </w:t>
            </w:r>
          </w:p>
          <w:p w14:paraId="0B11AA04" w14:textId="77777777" w:rsidR="00DC0194" w:rsidRPr="00AD3C55" w:rsidRDefault="00DC0194" w:rsidP="00E924DD">
            <w:pPr>
              <w:rPr>
                <w:rFonts w:ascii="Arial" w:hAnsi="Arial" w:cs="Arial"/>
                <w:color w:val="000000" w:themeColor="text1"/>
              </w:rPr>
            </w:pPr>
          </w:p>
          <w:p w14:paraId="6DFF5EAA" w14:textId="4B19779E" w:rsidR="000073D8" w:rsidRPr="00AD3C55" w:rsidRDefault="00E924DD" w:rsidP="00E924DD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 xml:space="preserve">This graph activity is an important building block for the construction and use of </w:t>
            </w:r>
            <w:r w:rsidR="002261EC" w:rsidRPr="00AD3C55">
              <w:rPr>
                <w:rFonts w:ascii="Arial" w:hAnsi="Arial" w:cs="Arial"/>
                <w:color w:val="000000" w:themeColor="text1"/>
              </w:rPr>
              <w:t>double number lines</w:t>
            </w:r>
            <w:r w:rsidRPr="00AD3C55">
              <w:rPr>
                <w:rFonts w:ascii="Arial" w:hAnsi="Arial" w:cs="Arial"/>
                <w:color w:val="000000" w:themeColor="text1"/>
              </w:rPr>
              <w:t>.</w:t>
            </w:r>
          </w:p>
          <w:p w14:paraId="49BC601E" w14:textId="2B0EC131" w:rsidR="00E924DD" w:rsidRPr="00AD3C55" w:rsidRDefault="00E924DD" w:rsidP="00E924DD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 xml:space="preserve">Blank </w:t>
            </w:r>
            <w:r w:rsidR="000073D8" w:rsidRPr="00AD3C55">
              <w:rPr>
                <w:rFonts w:ascii="Arial" w:hAnsi="Arial" w:cs="Arial"/>
                <w:color w:val="000000" w:themeColor="text1"/>
              </w:rPr>
              <w:t xml:space="preserve">or </w:t>
            </w:r>
            <w:r w:rsidRPr="00AD3C55">
              <w:rPr>
                <w:rFonts w:ascii="Arial" w:hAnsi="Arial" w:cs="Arial"/>
                <w:color w:val="000000" w:themeColor="text1"/>
              </w:rPr>
              <w:t xml:space="preserve">partially filled </w:t>
            </w:r>
            <w:r w:rsidR="000073D8" w:rsidRPr="00AD3C55">
              <w:rPr>
                <w:rFonts w:ascii="Arial" w:hAnsi="Arial" w:cs="Arial"/>
                <w:color w:val="000000" w:themeColor="text1"/>
              </w:rPr>
              <w:t xml:space="preserve">tables </w:t>
            </w:r>
            <w:r w:rsidRPr="00AD3C55">
              <w:rPr>
                <w:rFonts w:ascii="Arial" w:hAnsi="Arial" w:cs="Arial"/>
                <w:color w:val="000000" w:themeColor="text1"/>
              </w:rPr>
              <w:t xml:space="preserve">can be used for differentiation </w:t>
            </w:r>
            <w:r w:rsidR="000073D8" w:rsidRPr="00AD3C55">
              <w:rPr>
                <w:rFonts w:ascii="Arial" w:hAnsi="Arial" w:cs="Arial"/>
                <w:color w:val="000000" w:themeColor="text1"/>
              </w:rPr>
              <w:t xml:space="preserve">– </w:t>
            </w:r>
            <w:r w:rsidRPr="00AD3C55">
              <w:rPr>
                <w:rFonts w:ascii="Arial" w:hAnsi="Arial" w:cs="Arial"/>
                <w:color w:val="000000" w:themeColor="text1"/>
              </w:rPr>
              <w:t>as scaffold</w:t>
            </w:r>
            <w:r w:rsidR="000073D8" w:rsidRPr="00AD3C55">
              <w:rPr>
                <w:rFonts w:ascii="Arial" w:hAnsi="Arial" w:cs="Arial"/>
                <w:color w:val="000000" w:themeColor="text1"/>
              </w:rPr>
              <w:t>ing –</w:t>
            </w:r>
            <w:r w:rsidRPr="00AD3C55">
              <w:rPr>
                <w:rFonts w:ascii="Arial" w:hAnsi="Arial" w:cs="Arial"/>
                <w:color w:val="000000" w:themeColor="text1"/>
              </w:rPr>
              <w:t xml:space="preserve"> if required.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207F7A" w14:textId="4869DD3D" w:rsidR="00E924DD" w:rsidRPr="00AD3C55" w:rsidRDefault="00E924DD" w:rsidP="00E924DD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 xml:space="preserve">Slide </w:t>
            </w:r>
            <w:r w:rsidR="007A26A3" w:rsidRPr="00AD3C55">
              <w:rPr>
                <w:rFonts w:ascii="Arial" w:hAnsi="Arial" w:cs="Arial"/>
                <w:color w:val="000000" w:themeColor="text1"/>
              </w:rPr>
              <w:t>4</w:t>
            </w:r>
          </w:p>
          <w:p w14:paraId="60322E70" w14:textId="77777777" w:rsidR="0099283A" w:rsidRPr="00AD3C55" w:rsidRDefault="0099283A" w:rsidP="00E924DD">
            <w:pPr>
              <w:rPr>
                <w:rFonts w:ascii="Arial" w:hAnsi="Arial" w:cs="Arial"/>
                <w:color w:val="000000" w:themeColor="text1"/>
              </w:rPr>
            </w:pPr>
          </w:p>
          <w:p w14:paraId="399DDD17" w14:textId="2059437B" w:rsidR="00E924DD" w:rsidRPr="00AD3C55" w:rsidRDefault="007A26A3" w:rsidP="00E924DD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Unit conversion</w:t>
            </w:r>
            <w:r w:rsidR="00E924DD" w:rsidRPr="00AD3C55">
              <w:rPr>
                <w:rFonts w:ascii="Arial" w:hAnsi="Arial" w:cs="Arial"/>
                <w:color w:val="000000" w:themeColor="text1"/>
              </w:rPr>
              <w:t xml:space="preserve"> graph handout</w:t>
            </w:r>
          </w:p>
          <w:p w14:paraId="759CA6F5" w14:textId="77777777" w:rsidR="0099283A" w:rsidRPr="00AD3C55" w:rsidRDefault="0099283A" w:rsidP="00E924DD">
            <w:pPr>
              <w:rPr>
                <w:rFonts w:ascii="Arial" w:hAnsi="Arial" w:cs="Arial"/>
                <w:color w:val="000000" w:themeColor="text1"/>
              </w:rPr>
            </w:pPr>
          </w:p>
          <w:p w14:paraId="5AC038BC" w14:textId="7837A035" w:rsidR="00E924DD" w:rsidRPr="00AD3C55" w:rsidRDefault="00E924DD" w:rsidP="00E924DD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Mini whiteboards</w:t>
            </w:r>
          </w:p>
        </w:tc>
      </w:tr>
      <w:tr w:rsidR="00713A48" w:rsidRPr="00713A48" w14:paraId="328940F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A7A246" w14:textId="53BFA8C1" w:rsidR="00E924DD" w:rsidRPr="00AD3C55" w:rsidRDefault="00E924DD" w:rsidP="00E924DD">
            <w:pPr>
              <w:keepNext/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Discuss</w:t>
            </w:r>
          </w:p>
        </w:tc>
        <w:tc>
          <w:tcPr>
            <w:tcW w:w="2275" w:type="dxa"/>
          </w:tcPr>
          <w:p w14:paraId="6808FF4A" w14:textId="7AB9CE2D" w:rsidR="00E924DD" w:rsidRPr="00AD3C55" w:rsidRDefault="00B3542B" w:rsidP="00E924DD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To e</w:t>
            </w:r>
            <w:r w:rsidR="00E924DD" w:rsidRPr="00AD3C55">
              <w:rPr>
                <w:rFonts w:ascii="Arial" w:hAnsi="Arial" w:cs="Arial"/>
                <w:color w:val="000000" w:themeColor="text1"/>
              </w:rPr>
              <w:t>xplor</w:t>
            </w:r>
            <w:r w:rsidRPr="00AD3C55">
              <w:rPr>
                <w:rFonts w:ascii="Arial" w:hAnsi="Arial" w:cs="Arial"/>
                <w:color w:val="000000" w:themeColor="text1"/>
              </w:rPr>
              <w:t>e</w:t>
            </w:r>
            <w:r w:rsidR="00E924DD" w:rsidRPr="00AD3C55">
              <w:rPr>
                <w:rFonts w:ascii="Arial" w:hAnsi="Arial" w:cs="Arial"/>
                <w:color w:val="000000" w:themeColor="text1"/>
              </w:rPr>
              <w:t xml:space="preserve"> problem</w:t>
            </w:r>
            <w:r w:rsidR="000405AF" w:rsidRPr="00AD3C55">
              <w:rPr>
                <w:rFonts w:ascii="Arial" w:hAnsi="Arial" w:cs="Arial"/>
                <w:color w:val="000000" w:themeColor="text1"/>
              </w:rPr>
              <w:t>-</w:t>
            </w:r>
            <w:r w:rsidR="00E924DD" w:rsidRPr="00AD3C55">
              <w:rPr>
                <w:rFonts w:ascii="Arial" w:hAnsi="Arial" w:cs="Arial"/>
                <w:color w:val="000000" w:themeColor="text1"/>
              </w:rPr>
              <w:t xml:space="preserve">solving approaches using </w:t>
            </w:r>
            <w:r w:rsidR="002261EC" w:rsidRPr="00AD3C55">
              <w:rPr>
                <w:rFonts w:ascii="Arial" w:hAnsi="Arial" w:cs="Arial"/>
                <w:color w:val="000000" w:themeColor="text1"/>
              </w:rPr>
              <w:t>a double number line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36AC00" w14:textId="4E9E4FA7" w:rsidR="00E924DD" w:rsidRPr="00AD3C55" w:rsidRDefault="00E924DD" w:rsidP="00E924D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A9401B" w14:textId="7123452D" w:rsidR="0099283A" w:rsidRPr="00AD3C55" w:rsidRDefault="00E924DD" w:rsidP="00E924DD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 xml:space="preserve">Groups </w:t>
            </w:r>
            <w:r w:rsidR="003B5154" w:rsidRPr="00AD3C55">
              <w:rPr>
                <w:rFonts w:ascii="Arial" w:hAnsi="Arial" w:cs="Arial"/>
                <w:color w:val="000000" w:themeColor="text1"/>
              </w:rPr>
              <w:t xml:space="preserve">give </w:t>
            </w:r>
            <w:r w:rsidRPr="00AD3C55">
              <w:rPr>
                <w:rFonts w:ascii="Arial" w:hAnsi="Arial" w:cs="Arial"/>
                <w:color w:val="000000" w:themeColor="text1"/>
              </w:rPr>
              <w:t xml:space="preserve">feedback </w:t>
            </w:r>
            <w:r w:rsidR="000073D8" w:rsidRPr="00AD3C55">
              <w:rPr>
                <w:rFonts w:ascii="Arial" w:hAnsi="Arial" w:cs="Arial"/>
                <w:color w:val="000000" w:themeColor="text1"/>
              </w:rPr>
              <w:t xml:space="preserve">on </w:t>
            </w:r>
            <w:r w:rsidRPr="00AD3C55">
              <w:rPr>
                <w:rFonts w:ascii="Arial" w:hAnsi="Arial" w:cs="Arial"/>
                <w:color w:val="000000" w:themeColor="text1"/>
              </w:rPr>
              <w:t xml:space="preserve">how they calculated the conversion of </w:t>
            </w:r>
            <w:r w:rsidR="007A26A3" w:rsidRPr="00AD3C55">
              <w:rPr>
                <w:rFonts w:ascii="Arial" w:hAnsi="Arial" w:cs="Arial"/>
                <w:color w:val="000000" w:themeColor="text1"/>
              </w:rPr>
              <w:t>500</w:t>
            </w:r>
            <w:r w:rsidR="00440E72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A26A3" w:rsidRPr="00AD3C55">
              <w:rPr>
                <w:rFonts w:ascii="Arial" w:hAnsi="Arial" w:cs="Arial"/>
                <w:color w:val="000000" w:themeColor="text1"/>
              </w:rPr>
              <w:t>cm to inches.</w:t>
            </w:r>
          </w:p>
          <w:p w14:paraId="187147FB" w14:textId="1C34FEB0" w:rsidR="00E924DD" w:rsidRPr="00AD3C55" w:rsidRDefault="0099283A" w:rsidP="00E924DD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 xml:space="preserve">You can </w:t>
            </w:r>
            <w:r w:rsidR="003C757C" w:rsidRPr="00AD3C55">
              <w:rPr>
                <w:rFonts w:ascii="Arial" w:hAnsi="Arial" w:cs="Arial"/>
                <w:color w:val="000000" w:themeColor="text1"/>
              </w:rPr>
              <w:t xml:space="preserve">demonstrate </w:t>
            </w:r>
            <w:r w:rsidRPr="00AD3C55">
              <w:rPr>
                <w:rFonts w:ascii="Arial" w:hAnsi="Arial" w:cs="Arial"/>
                <w:color w:val="000000" w:themeColor="text1"/>
              </w:rPr>
              <w:t xml:space="preserve">this for learners </w:t>
            </w:r>
            <w:r w:rsidR="00E924DD" w:rsidRPr="00AD3C55">
              <w:rPr>
                <w:rFonts w:ascii="Arial" w:hAnsi="Arial" w:cs="Arial"/>
                <w:color w:val="000000" w:themeColor="text1"/>
              </w:rPr>
              <w:t xml:space="preserve">using the table and </w:t>
            </w:r>
            <w:r w:rsidR="002261EC" w:rsidRPr="00AD3C55">
              <w:rPr>
                <w:rFonts w:ascii="Arial" w:hAnsi="Arial" w:cs="Arial"/>
                <w:color w:val="000000" w:themeColor="text1"/>
              </w:rPr>
              <w:t>double number line</w:t>
            </w:r>
            <w:r w:rsidR="000073D8" w:rsidRPr="00AD3C55">
              <w:rPr>
                <w:rFonts w:ascii="Arial" w:hAnsi="Arial" w:cs="Arial"/>
                <w:color w:val="000000" w:themeColor="text1"/>
              </w:rPr>
              <w:t>,</w:t>
            </w:r>
            <w:r w:rsidR="00E924DD" w:rsidRPr="00AD3C55">
              <w:rPr>
                <w:rFonts w:ascii="Arial" w:hAnsi="Arial" w:cs="Arial"/>
                <w:color w:val="000000" w:themeColor="text1"/>
              </w:rPr>
              <w:t xml:space="preserve"> either on </w:t>
            </w:r>
            <w:r w:rsidR="000073D8" w:rsidRPr="00AD3C55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E924DD" w:rsidRPr="00AD3C55">
              <w:rPr>
                <w:rFonts w:ascii="Arial" w:hAnsi="Arial" w:cs="Arial"/>
                <w:color w:val="000000" w:themeColor="text1"/>
              </w:rPr>
              <w:t>whiteboard or</w:t>
            </w:r>
            <w:r w:rsidR="00B0261C" w:rsidRPr="00AD3C5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25CB8" w:rsidRPr="00AD3C55">
              <w:rPr>
                <w:rFonts w:ascii="Arial" w:hAnsi="Arial" w:cs="Arial"/>
                <w:color w:val="000000" w:themeColor="text1"/>
              </w:rPr>
              <w:t>b</w:t>
            </w:r>
            <w:r w:rsidR="00B0261C" w:rsidRPr="00AD3C55">
              <w:rPr>
                <w:rFonts w:ascii="Arial" w:hAnsi="Arial" w:cs="Arial"/>
                <w:color w:val="000000" w:themeColor="text1"/>
              </w:rPr>
              <w:t>y</w:t>
            </w:r>
            <w:r w:rsidR="00E924DD" w:rsidRPr="00AD3C55">
              <w:rPr>
                <w:rFonts w:ascii="Arial" w:hAnsi="Arial" w:cs="Arial"/>
                <w:color w:val="000000" w:themeColor="text1"/>
              </w:rPr>
              <w:t xml:space="preserve"> using an app (for example, GeoGebra)</w:t>
            </w:r>
            <w:r w:rsidRPr="00AD3C55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C3F4E6" w14:textId="5F6ADB03" w:rsidR="00E924DD" w:rsidRPr="00AD3C55" w:rsidRDefault="00E924DD" w:rsidP="00E924DD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 xml:space="preserve">Slides </w:t>
            </w:r>
            <w:r w:rsidR="007A26A3" w:rsidRPr="00AD3C55">
              <w:rPr>
                <w:rFonts w:ascii="Arial" w:hAnsi="Arial" w:cs="Arial"/>
                <w:color w:val="000000" w:themeColor="text1"/>
              </w:rPr>
              <w:t>5</w:t>
            </w:r>
            <w:r w:rsidRPr="00AD3C55">
              <w:rPr>
                <w:rFonts w:ascii="Arial" w:hAnsi="Arial" w:cs="Arial"/>
                <w:color w:val="000000" w:themeColor="text1"/>
              </w:rPr>
              <w:t>–8</w:t>
            </w:r>
          </w:p>
          <w:p w14:paraId="5C96F40B" w14:textId="77777777" w:rsidR="00E924DD" w:rsidRPr="00AD3C55" w:rsidRDefault="00E924DD" w:rsidP="00E924DD">
            <w:pPr>
              <w:rPr>
                <w:rFonts w:ascii="Arial" w:hAnsi="Arial" w:cs="Arial"/>
                <w:color w:val="000000" w:themeColor="text1"/>
              </w:rPr>
            </w:pPr>
          </w:p>
          <w:p w14:paraId="4D82EB49" w14:textId="359AE363" w:rsidR="00E924DD" w:rsidRPr="00AD3C55" w:rsidRDefault="00E924DD" w:rsidP="00E924DD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GeoGebra (optional)</w:t>
            </w:r>
          </w:p>
        </w:tc>
      </w:tr>
    </w:tbl>
    <w:tbl>
      <w:tblPr>
        <w:tblStyle w:val="TableGrid"/>
        <w:tblpPr w:leftFromText="181" w:rightFromText="181" w:vertAnchor="text" w:horzAnchor="margin" w:tblpX="-33" w:tblpY="-112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713A48" w:rsidRPr="00713A48" w14:paraId="594CE963" w14:textId="77777777" w:rsidTr="003C7341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4F4898" w14:textId="77777777" w:rsidR="000073D8" w:rsidRPr="00AD3C55" w:rsidRDefault="000073D8" w:rsidP="003C7341">
            <w:pPr>
              <w:pStyle w:val="Tableheader"/>
              <w:jc w:val="center"/>
              <w:rPr>
                <w:color w:val="000000" w:themeColor="text1"/>
              </w:rPr>
            </w:pPr>
            <w:r w:rsidRPr="00AD3C55">
              <w:rPr>
                <w:color w:val="000000" w:themeColor="text1"/>
              </w:rPr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27A0B0C8" w14:textId="77777777" w:rsidR="000073D8" w:rsidRPr="00AD3C55" w:rsidRDefault="000073D8" w:rsidP="003C7341">
            <w:pPr>
              <w:pStyle w:val="Tableheader"/>
              <w:jc w:val="center"/>
              <w:rPr>
                <w:color w:val="000000" w:themeColor="text1"/>
              </w:rPr>
            </w:pPr>
            <w:r w:rsidRPr="00AD3C55">
              <w:rPr>
                <w:color w:val="000000" w:themeColor="text1"/>
              </w:rPr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AAC005" w14:textId="77777777" w:rsidR="000073D8" w:rsidRPr="00AD3C55" w:rsidRDefault="000073D8" w:rsidP="003C7341">
            <w:pPr>
              <w:pStyle w:val="Tableheader"/>
              <w:jc w:val="center"/>
              <w:rPr>
                <w:color w:val="000000" w:themeColor="text1"/>
              </w:rPr>
            </w:pPr>
            <w:r w:rsidRPr="00AD3C55">
              <w:rPr>
                <w:color w:val="000000" w:themeColor="text1"/>
              </w:rPr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957813" w14:textId="77777777" w:rsidR="000073D8" w:rsidRPr="00AD3C55" w:rsidRDefault="000073D8" w:rsidP="003C7341">
            <w:pPr>
              <w:pStyle w:val="Tableheader"/>
              <w:jc w:val="center"/>
              <w:rPr>
                <w:color w:val="000000" w:themeColor="text1"/>
              </w:rPr>
            </w:pPr>
            <w:r w:rsidRPr="00AD3C55">
              <w:rPr>
                <w:color w:val="000000" w:themeColor="text1"/>
              </w:rPr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2C5F32" w14:textId="77777777" w:rsidR="000073D8" w:rsidRPr="00AD3C55" w:rsidRDefault="000073D8" w:rsidP="003C7341">
            <w:pPr>
              <w:pStyle w:val="Tableheader"/>
              <w:jc w:val="center"/>
              <w:rPr>
                <w:color w:val="000000" w:themeColor="text1"/>
              </w:rPr>
            </w:pPr>
            <w:r w:rsidRPr="00AD3C55">
              <w:rPr>
                <w:color w:val="000000" w:themeColor="text1"/>
              </w:rPr>
              <w:t>Materials</w:t>
            </w:r>
          </w:p>
        </w:tc>
      </w:tr>
      <w:tr w:rsidR="00713A48" w:rsidRPr="00713A48" w14:paraId="40D89D8D" w14:textId="77777777" w:rsidTr="003C7341">
        <w:trPr>
          <w:trHeight w:val="66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A26E47" w14:textId="77777777" w:rsidR="000073D8" w:rsidRPr="00AD3C55" w:rsidRDefault="000073D8" w:rsidP="003C7341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 xml:space="preserve">Explore 2 </w:t>
            </w:r>
          </w:p>
        </w:tc>
        <w:tc>
          <w:tcPr>
            <w:tcW w:w="2275" w:type="dxa"/>
          </w:tcPr>
          <w:p w14:paraId="506D8889" w14:textId="16A3A334" w:rsidR="000073D8" w:rsidRPr="00AD3C55" w:rsidRDefault="000073D8" w:rsidP="003C7341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 xml:space="preserve">To reiterate the concept of </w:t>
            </w:r>
            <w:r w:rsidR="007A26A3" w:rsidRPr="00AD3C55">
              <w:rPr>
                <w:rFonts w:ascii="Arial" w:hAnsi="Arial" w:cs="Arial"/>
                <w:color w:val="000000" w:themeColor="text1"/>
              </w:rPr>
              <w:t xml:space="preserve">converting between units </w:t>
            </w:r>
            <w:r w:rsidRPr="00AD3C55">
              <w:rPr>
                <w:rFonts w:ascii="Arial" w:hAnsi="Arial" w:cs="Arial"/>
                <w:color w:val="000000" w:themeColor="text1"/>
              </w:rPr>
              <w:t>and to highlight common misconceptions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1BDB98" w14:textId="286BAFFD" w:rsidR="000073D8" w:rsidRPr="00AD3C55" w:rsidRDefault="009727FA" w:rsidP="003C734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E54A1E" w14:textId="09896871" w:rsidR="000073D8" w:rsidRPr="00AD3C55" w:rsidRDefault="000073D8" w:rsidP="003C7341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 xml:space="preserve">This is a </w:t>
            </w:r>
            <w:r w:rsidR="007A26A3" w:rsidRPr="00AD3C55">
              <w:rPr>
                <w:rFonts w:ascii="Arial" w:hAnsi="Arial" w:cs="Arial"/>
                <w:color w:val="000000" w:themeColor="text1"/>
              </w:rPr>
              <w:t>‘</w:t>
            </w:r>
            <w:r w:rsidRPr="00AD3C55">
              <w:rPr>
                <w:rFonts w:ascii="Arial" w:hAnsi="Arial" w:cs="Arial"/>
                <w:color w:val="000000" w:themeColor="text1"/>
              </w:rPr>
              <w:t>spot</w:t>
            </w:r>
            <w:r w:rsidR="00C929F2" w:rsidRPr="00AD3C5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D3C55">
              <w:rPr>
                <w:rFonts w:ascii="Arial" w:hAnsi="Arial" w:cs="Arial"/>
                <w:color w:val="000000" w:themeColor="text1"/>
              </w:rPr>
              <w:t>the</w:t>
            </w:r>
            <w:r w:rsidR="00C929F2" w:rsidRPr="00AD3C5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D3C55">
              <w:rPr>
                <w:rFonts w:ascii="Arial" w:hAnsi="Arial" w:cs="Arial"/>
                <w:color w:val="000000" w:themeColor="text1"/>
              </w:rPr>
              <w:t>mistake</w:t>
            </w:r>
            <w:r w:rsidR="007A26A3" w:rsidRPr="00AD3C55">
              <w:rPr>
                <w:rFonts w:ascii="Arial" w:hAnsi="Arial" w:cs="Arial"/>
                <w:color w:val="000000" w:themeColor="text1"/>
              </w:rPr>
              <w:t>’</w:t>
            </w:r>
            <w:r w:rsidRPr="00AD3C55">
              <w:rPr>
                <w:rFonts w:ascii="Arial" w:hAnsi="Arial" w:cs="Arial"/>
                <w:color w:val="000000" w:themeColor="text1"/>
              </w:rPr>
              <w:t xml:space="preserve"> activity, to highlight misconceptions.</w:t>
            </w:r>
          </w:p>
          <w:p w14:paraId="661A89A0" w14:textId="619F3ADD" w:rsidR="000073D8" w:rsidRPr="00AD3C55" w:rsidRDefault="000073D8" w:rsidP="003C7341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Learners work independently at first, then share their work and ideas</w:t>
            </w:r>
            <w:r w:rsidR="00857F87" w:rsidRPr="00AD3C55">
              <w:rPr>
                <w:rFonts w:ascii="Arial" w:hAnsi="Arial" w:cs="Arial"/>
                <w:color w:val="000000" w:themeColor="text1"/>
              </w:rPr>
              <w:t>.</w:t>
            </w:r>
            <w:r w:rsidR="00051A0D" w:rsidRPr="00AD3C55">
              <w:rPr>
                <w:rFonts w:ascii="Arial" w:hAnsi="Arial" w:cs="Arial"/>
                <w:color w:val="000000" w:themeColor="text1"/>
              </w:rPr>
              <w:t xml:space="preserve"> They</w:t>
            </w:r>
            <w:r w:rsidRPr="00AD3C55">
              <w:rPr>
                <w:rFonts w:ascii="Arial" w:hAnsi="Arial" w:cs="Arial"/>
                <w:color w:val="000000" w:themeColor="text1"/>
              </w:rPr>
              <w:t xml:space="preserve"> discuss and explain.</w:t>
            </w:r>
          </w:p>
          <w:p w14:paraId="08593C51" w14:textId="7621A787" w:rsidR="00DC0194" w:rsidRPr="00AD3C55" w:rsidRDefault="00DC0194" w:rsidP="003345FA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6B939D" w14:textId="256991D3" w:rsidR="000073D8" w:rsidRPr="00AD3C55" w:rsidRDefault="000073D8" w:rsidP="003C7341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Slide</w:t>
            </w:r>
            <w:r w:rsidR="00CA32D7">
              <w:rPr>
                <w:rFonts w:ascii="Arial" w:hAnsi="Arial" w:cs="Arial"/>
                <w:color w:val="000000" w:themeColor="text1"/>
              </w:rPr>
              <w:t>s</w:t>
            </w:r>
            <w:r w:rsidRPr="00AD3C55">
              <w:rPr>
                <w:rFonts w:ascii="Arial" w:hAnsi="Arial" w:cs="Arial"/>
                <w:color w:val="000000" w:themeColor="text1"/>
              </w:rPr>
              <w:t xml:space="preserve"> 9</w:t>
            </w:r>
            <w:r w:rsidR="005C6068" w:rsidRPr="00AD3C55">
              <w:rPr>
                <w:rFonts w:ascii="Arial" w:hAnsi="Arial" w:cs="Arial"/>
                <w:color w:val="000000" w:themeColor="text1"/>
              </w:rPr>
              <w:t>–</w:t>
            </w:r>
            <w:r w:rsidR="007A26A3" w:rsidRPr="00AD3C55">
              <w:rPr>
                <w:rFonts w:ascii="Arial" w:hAnsi="Arial" w:cs="Arial"/>
                <w:color w:val="000000" w:themeColor="text1"/>
              </w:rPr>
              <w:t>10</w:t>
            </w:r>
          </w:p>
          <w:p w14:paraId="540AE3F9" w14:textId="77777777" w:rsidR="000073D8" w:rsidRPr="00AD3C55" w:rsidRDefault="000073D8" w:rsidP="003C734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13A48" w:rsidRPr="00713A48" w14:paraId="30171D2E" w14:textId="77777777" w:rsidTr="003C7341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FD13A6" w14:textId="77DFE7C5" w:rsidR="00E433A7" w:rsidRPr="00AD3C55" w:rsidRDefault="009727FA" w:rsidP="00E433A7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Explore 3</w:t>
            </w:r>
          </w:p>
        </w:tc>
        <w:tc>
          <w:tcPr>
            <w:tcW w:w="2275" w:type="dxa"/>
          </w:tcPr>
          <w:p w14:paraId="3DE7832C" w14:textId="3AF5E8D1" w:rsidR="00E433A7" w:rsidRPr="00AD3C55" w:rsidRDefault="009727FA" w:rsidP="00E433A7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To extend the approach to two</w:t>
            </w:r>
            <w:r w:rsidR="00C10CB5" w:rsidRPr="00AD3C55">
              <w:rPr>
                <w:rFonts w:ascii="Arial" w:hAnsi="Arial" w:cs="Arial"/>
                <w:color w:val="000000" w:themeColor="text1"/>
              </w:rPr>
              <w:t>-</w:t>
            </w:r>
            <w:r w:rsidRPr="00AD3C55">
              <w:rPr>
                <w:rFonts w:ascii="Arial" w:hAnsi="Arial" w:cs="Arial"/>
                <w:color w:val="000000" w:themeColor="text1"/>
              </w:rPr>
              <w:t>stage questions and other metric</w:t>
            </w:r>
            <w:r w:rsidR="00C10CB5" w:rsidRPr="00AD3C55">
              <w:rPr>
                <w:rFonts w:ascii="Arial" w:hAnsi="Arial" w:cs="Arial"/>
                <w:color w:val="000000" w:themeColor="text1"/>
              </w:rPr>
              <w:t>–</w:t>
            </w:r>
            <w:r w:rsidRPr="00AD3C55">
              <w:rPr>
                <w:rFonts w:ascii="Arial" w:hAnsi="Arial" w:cs="Arial"/>
                <w:color w:val="000000" w:themeColor="text1"/>
              </w:rPr>
              <w:t>imperial conversions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A00DD7" w14:textId="004454A1" w:rsidR="00E433A7" w:rsidRPr="00AD3C55" w:rsidRDefault="009727FA" w:rsidP="00E433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4CF692" w14:textId="635F9923" w:rsidR="009727FA" w:rsidRPr="00AD3C55" w:rsidRDefault="009727FA" w:rsidP="009727FA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This question builds on the previous question and extends the approach to calculations involving gallons per mile and conversions between gallons and litres.</w:t>
            </w:r>
          </w:p>
          <w:p w14:paraId="183FEFAA" w14:textId="06F17CE9" w:rsidR="00E433A7" w:rsidRPr="00AD3C55" w:rsidRDefault="009727FA" w:rsidP="00E433A7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This also introduce</w:t>
            </w:r>
            <w:r w:rsidR="00CD36D1" w:rsidRPr="00AD3C55">
              <w:rPr>
                <w:rFonts w:ascii="Arial" w:hAnsi="Arial" w:cs="Arial"/>
                <w:color w:val="000000" w:themeColor="text1"/>
              </w:rPr>
              <w:t>s</w:t>
            </w:r>
            <w:r w:rsidRPr="00AD3C55">
              <w:rPr>
                <w:rFonts w:ascii="Arial" w:hAnsi="Arial" w:cs="Arial"/>
                <w:color w:val="000000" w:themeColor="text1"/>
              </w:rPr>
              <w:t xml:space="preserve"> a two-stage question.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D9F84A" w14:textId="76059DF1" w:rsidR="00E433A7" w:rsidRPr="00AD3C55" w:rsidRDefault="00E433A7" w:rsidP="009727FA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Slides 11–13</w:t>
            </w:r>
          </w:p>
        </w:tc>
      </w:tr>
      <w:tr w:rsidR="00713A48" w:rsidRPr="00713A48" w14:paraId="43839366" w14:textId="77777777" w:rsidTr="003C7341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61EA88" w14:textId="0917008C" w:rsidR="00E433A7" w:rsidRPr="00AD3C55" w:rsidRDefault="00E433A7" w:rsidP="00E433A7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 xml:space="preserve">Practice </w:t>
            </w:r>
          </w:p>
        </w:tc>
        <w:tc>
          <w:tcPr>
            <w:tcW w:w="2275" w:type="dxa"/>
          </w:tcPr>
          <w:p w14:paraId="7C6F30BB" w14:textId="7951A818" w:rsidR="00E433A7" w:rsidRPr="00AD3C55" w:rsidRDefault="00E433A7" w:rsidP="00E433A7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To apply the learning to an exam question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AD6128" w14:textId="5089184B" w:rsidR="00E433A7" w:rsidRPr="00AD3C55" w:rsidRDefault="00E433A7" w:rsidP="00E433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1</w:t>
            </w:r>
            <w:r w:rsidR="009727FA" w:rsidRPr="00AD3C55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D50F43" w14:textId="6C392204" w:rsidR="00E433A7" w:rsidRPr="00AD3C55" w:rsidRDefault="00E433A7" w:rsidP="00E433A7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 xml:space="preserve">Learners work independently. Depending on time and ability of learners in the group, you may choose to do only one or two of questions with the class. </w:t>
            </w:r>
          </w:p>
          <w:p w14:paraId="3AB755D5" w14:textId="4CAA9C6D" w:rsidR="00E433A7" w:rsidRPr="00AD3C55" w:rsidRDefault="00E433A7" w:rsidP="00E433A7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 xml:space="preserve">When they have completed the questions, ask learners whether they have used a different approach when </w:t>
            </w:r>
            <w:r w:rsidR="00FF4A74" w:rsidRPr="00AD3C55">
              <w:rPr>
                <w:rFonts w:ascii="Arial" w:hAnsi="Arial" w:cs="Arial"/>
                <w:color w:val="000000" w:themeColor="text1"/>
              </w:rPr>
              <w:t>convertin</w:t>
            </w:r>
            <w:r w:rsidR="00FC3951" w:rsidRPr="00AD3C55">
              <w:rPr>
                <w:rFonts w:ascii="Arial" w:hAnsi="Arial" w:cs="Arial"/>
                <w:color w:val="000000" w:themeColor="text1"/>
              </w:rPr>
              <w:t xml:space="preserve">g between metric and imperial units </w:t>
            </w:r>
            <w:r w:rsidRPr="00AD3C55">
              <w:rPr>
                <w:rFonts w:ascii="Arial" w:hAnsi="Arial" w:cs="Arial"/>
                <w:color w:val="000000" w:themeColor="text1"/>
              </w:rPr>
              <w:t>to that used prior to the lesson. How has their thinking changed? What have they learned about multiplicative structure?</w:t>
            </w:r>
          </w:p>
          <w:p w14:paraId="267512AD" w14:textId="266493B6" w:rsidR="00E433A7" w:rsidRPr="00AD3C55" w:rsidRDefault="00E433A7" w:rsidP="00E433A7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Discuss where else this approach may work. Where have they used it before? Where would they use it in future?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8383F5" w14:textId="7521CF79" w:rsidR="00E433A7" w:rsidRPr="00AD3C55" w:rsidRDefault="00E433A7" w:rsidP="00E433A7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Slides 1</w:t>
            </w:r>
            <w:r w:rsidR="009727FA" w:rsidRPr="00AD3C55">
              <w:rPr>
                <w:rFonts w:ascii="Arial" w:hAnsi="Arial" w:cs="Arial"/>
                <w:color w:val="000000" w:themeColor="text1"/>
              </w:rPr>
              <w:t>4</w:t>
            </w:r>
            <w:r w:rsidRPr="00AD3C55">
              <w:rPr>
                <w:rFonts w:ascii="Arial" w:hAnsi="Arial" w:cs="Arial"/>
                <w:color w:val="000000" w:themeColor="text1"/>
              </w:rPr>
              <w:t>–2</w:t>
            </w:r>
            <w:r w:rsidR="009727FA" w:rsidRPr="00AD3C55">
              <w:rPr>
                <w:rFonts w:ascii="Arial" w:hAnsi="Arial" w:cs="Arial"/>
                <w:color w:val="000000" w:themeColor="text1"/>
              </w:rPr>
              <w:t>1</w:t>
            </w:r>
          </w:p>
          <w:p w14:paraId="7F6A3BD8" w14:textId="77777777" w:rsidR="00E433A7" w:rsidRPr="00AD3C55" w:rsidRDefault="00E433A7" w:rsidP="00E433A7">
            <w:pPr>
              <w:rPr>
                <w:rFonts w:ascii="Arial" w:hAnsi="Arial" w:cs="Arial"/>
                <w:color w:val="000000" w:themeColor="text1"/>
              </w:rPr>
            </w:pPr>
          </w:p>
          <w:p w14:paraId="2986D8C3" w14:textId="77777777" w:rsidR="00E433A7" w:rsidRPr="00AD3C55" w:rsidRDefault="00E433A7" w:rsidP="00E433A7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Exam questions</w:t>
            </w:r>
          </w:p>
          <w:p w14:paraId="745A33D6" w14:textId="35367E18" w:rsidR="00E433A7" w:rsidRPr="00AD3C55" w:rsidRDefault="00E433A7" w:rsidP="00E433A7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handout</w:t>
            </w:r>
          </w:p>
        </w:tc>
      </w:tr>
      <w:tr w:rsidR="00713A48" w:rsidRPr="00713A48" w14:paraId="56239E1E" w14:textId="77777777" w:rsidTr="003C7341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2AB049" w14:textId="77777777" w:rsidR="00E433A7" w:rsidRPr="00AD3C55" w:rsidRDefault="00E433A7" w:rsidP="00E433A7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Review</w:t>
            </w:r>
            <w:r w:rsidRPr="00AD3C55">
              <w:rPr>
                <w:rFonts w:ascii="Arial" w:hAnsi="Arial" w:cs="Arial"/>
                <w:color w:val="000000" w:themeColor="text1"/>
              </w:rPr>
              <w:tab/>
              <w:t xml:space="preserve"> </w:t>
            </w:r>
          </w:p>
          <w:p w14:paraId="538D0788" w14:textId="77777777" w:rsidR="00E433A7" w:rsidRPr="00AD3C55" w:rsidRDefault="00E433A7" w:rsidP="00E433A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75" w:type="dxa"/>
          </w:tcPr>
          <w:p w14:paraId="6466CF29" w14:textId="483FD73E" w:rsidR="00E433A7" w:rsidRPr="00AD3C55" w:rsidRDefault="00E433A7" w:rsidP="00E433A7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To review the lesson and recap what has been covered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26412B" w14:textId="19993171" w:rsidR="00E433A7" w:rsidRPr="00AD3C55" w:rsidRDefault="00E433A7" w:rsidP="00E433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9EF053" w14:textId="250A7958" w:rsidR="00E433A7" w:rsidRPr="00AD3C55" w:rsidRDefault="00E433A7" w:rsidP="00E433A7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Ask learners to identify what has been discussed during the lesson.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769AF5" w14:textId="2D214919" w:rsidR="00E433A7" w:rsidRPr="00AD3C55" w:rsidRDefault="00E433A7" w:rsidP="00E433A7">
            <w:pPr>
              <w:rPr>
                <w:rFonts w:ascii="Arial" w:hAnsi="Arial" w:cs="Arial"/>
                <w:color w:val="000000" w:themeColor="text1"/>
              </w:rPr>
            </w:pPr>
            <w:r w:rsidRPr="00AD3C55">
              <w:rPr>
                <w:rFonts w:ascii="Arial" w:hAnsi="Arial" w:cs="Arial"/>
                <w:color w:val="000000" w:themeColor="text1"/>
              </w:rPr>
              <w:t>Slide 2</w:t>
            </w:r>
            <w:r w:rsidR="009727FA" w:rsidRPr="00AD3C55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</w:tbl>
    <w:p w14:paraId="50C18907" w14:textId="77777777" w:rsidR="00E924DD" w:rsidRPr="00AD3C55" w:rsidRDefault="00E924DD" w:rsidP="00E924DD">
      <w:pPr>
        <w:rPr>
          <w:color w:val="000000" w:themeColor="text1"/>
        </w:rPr>
      </w:pPr>
    </w:p>
    <w:sectPr w:rsidR="00E924DD" w:rsidRPr="00AD3C55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44D9E" w14:textId="77777777" w:rsidR="00FA7829" w:rsidRDefault="00FA7829" w:rsidP="00E758AE">
      <w:r>
        <w:separator/>
      </w:r>
    </w:p>
  </w:endnote>
  <w:endnote w:type="continuationSeparator" w:id="0">
    <w:p w14:paraId="59071B98" w14:textId="77777777" w:rsidR="00FA7829" w:rsidRDefault="00FA7829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4A2347FD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740831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468DA42E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740831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F484" w14:textId="77777777" w:rsidR="00FA7829" w:rsidRDefault="00FA7829" w:rsidP="00E758AE">
      <w:r>
        <w:separator/>
      </w:r>
    </w:p>
  </w:footnote>
  <w:footnote w:type="continuationSeparator" w:id="0">
    <w:p w14:paraId="44F68D87" w14:textId="77777777" w:rsidR="00FA7829" w:rsidRDefault="00FA7829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E558" w14:textId="2198DE88" w:rsidR="00E758AE" w:rsidRPr="00C63A2E" w:rsidRDefault="00B36C91" w:rsidP="00B36C91">
    <w:pPr>
      <w:pStyle w:val="Header"/>
      <w:ind w:firstLine="1440"/>
      <w:jc w:val="center"/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B62EF26" wp14:editId="7275A480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467840CD" wp14:editId="0E5ADE87">
          <wp:simplePos x="0" y="0"/>
          <wp:positionH relativeFrom="column">
            <wp:posOffset>4397071</wp:posOffset>
          </wp:positionH>
          <wp:positionV relativeFrom="paragraph">
            <wp:posOffset>-363220</wp:posOffset>
          </wp:positionV>
          <wp:extent cx="2065867" cy="936198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val="en-US"/>
      </w:rPr>
      <w:drawing>
        <wp:anchor distT="0" distB="0" distL="114300" distR="114300" simplePos="0" relativeHeight="251655168" behindDoc="1" locked="0" layoutInCell="1" allowOverlap="1" wp14:anchorId="43C8E837" wp14:editId="0A1C109F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000000" w:themeColor="text1"/>
      </w:rPr>
      <w:drawing>
        <wp:anchor distT="0" distB="0" distL="114300" distR="114300" simplePos="0" relativeHeight="251661312" behindDoc="1" locked="0" layoutInCell="1" allowOverlap="1" wp14:anchorId="009DC7A0" wp14:editId="0518AC34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None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B0A17" w14:textId="77777777" w:rsidR="00E758AE" w:rsidRDefault="00E75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52F6"/>
    <w:multiLevelType w:val="hybridMultilevel"/>
    <w:tmpl w:val="E6B67E48"/>
    <w:lvl w:ilvl="0" w:tplc="080C36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54ED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86068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8ED9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AB2FE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A8A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F8AD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363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E1205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42922042"/>
    <w:multiLevelType w:val="hybridMultilevel"/>
    <w:tmpl w:val="5E3A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162632">
    <w:abstractNumId w:val="2"/>
  </w:num>
  <w:num w:numId="2" w16cid:durableId="620720869">
    <w:abstractNumId w:val="1"/>
  </w:num>
  <w:num w:numId="3" w16cid:durableId="75085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073D8"/>
    <w:rsid w:val="000405AF"/>
    <w:rsid w:val="00051A0D"/>
    <w:rsid w:val="00087E4C"/>
    <w:rsid w:val="00093534"/>
    <w:rsid w:val="000C000B"/>
    <w:rsid w:val="00100F79"/>
    <w:rsid w:val="0010702A"/>
    <w:rsid w:val="001328C9"/>
    <w:rsid w:val="00132AC3"/>
    <w:rsid w:val="00176FEC"/>
    <w:rsid w:val="00185368"/>
    <w:rsid w:val="00187AF2"/>
    <w:rsid w:val="00194C46"/>
    <w:rsid w:val="001C1667"/>
    <w:rsid w:val="001D0F45"/>
    <w:rsid w:val="001D64E9"/>
    <w:rsid w:val="00222796"/>
    <w:rsid w:val="002261EC"/>
    <w:rsid w:val="00267F62"/>
    <w:rsid w:val="002A6026"/>
    <w:rsid w:val="002E5F3E"/>
    <w:rsid w:val="002E77C2"/>
    <w:rsid w:val="002F624E"/>
    <w:rsid w:val="003345E6"/>
    <w:rsid w:val="003345FA"/>
    <w:rsid w:val="00343595"/>
    <w:rsid w:val="003A3581"/>
    <w:rsid w:val="003A7043"/>
    <w:rsid w:val="003A7245"/>
    <w:rsid w:val="003B3736"/>
    <w:rsid w:val="003B5154"/>
    <w:rsid w:val="003C757C"/>
    <w:rsid w:val="003F1DDE"/>
    <w:rsid w:val="00410E09"/>
    <w:rsid w:val="00440E72"/>
    <w:rsid w:val="00485F84"/>
    <w:rsid w:val="004A78C0"/>
    <w:rsid w:val="00501D44"/>
    <w:rsid w:val="00530EF1"/>
    <w:rsid w:val="00531D1E"/>
    <w:rsid w:val="00550E44"/>
    <w:rsid w:val="0055343D"/>
    <w:rsid w:val="00564140"/>
    <w:rsid w:val="005910C7"/>
    <w:rsid w:val="005B027E"/>
    <w:rsid w:val="005B1716"/>
    <w:rsid w:val="005B65DE"/>
    <w:rsid w:val="005C6068"/>
    <w:rsid w:val="005D0294"/>
    <w:rsid w:val="005F142F"/>
    <w:rsid w:val="005F298F"/>
    <w:rsid w:val="00674F40"/>
    <w:rsid w:val="00680CC3"/>
    <w:rsid w:val="00687B82"/>
    <w:rsid w:val="006A40C2"/>
    <w:rsid w:val="006C461B"/>
    <w:rsid w:val="006D524A"/>
    <w:rsid w:val="00713A48"/>
    <w:rsid w:val="00734D70"/>
    <w:rsid w:val="00740831"/>
    <w:rsid w:val="00773D91"/>
    <w:rsid w:val="00781C65"/>
    <w:rsid w:val="007A26A3"/>
    <w:rsid w:val="007B457E"/>
    <w:rsid w:val="007E6A51"/>
    <w:rsid w:val="00801367"/>
    <w:rsid w:val="00836F21"/>
    <w:rsid w:val="00841612"/>
    <w:rsid w:val="00857F87"/>
    <w:rsid w:val="00876C25"/>
    <w:rsid w:val="00895694"/>
    <w:rsid w:val="008A5AC2"/>
    <w:rsid w:val="008A6762"/>
    <w:rsid w:val="008B359A"/>
    <w:rsid w:val="008B704D"/>
    <w:rsid w:val="008D0BA6"/>
    <w:rsid w:val="00905CC5"/>
    <w:rsid w:val="00917A7F"/>
    <w:rsid w:val="00930A5A"/>
    <w:rsid w:val="00934CB5"/>
    <w:rsid w:val="00953EA1"/>
    <w:rsid w:val="00955AB3"/>
    <w:rsid w:val="0096467B"/>
    <w:rsid w:val="009727FA"/>
    <w:rsid w:val="0099283A"/>
    <w:rsid w:val="009B6FA6"/>
    <w:rsid w:val="009D7CB3"/>
    <w:rsid w:val="00A064E8"/>
    <w:rsid w:val="00A82BD6"/>
    <w:rsid w:val="00AB75ED"/>
    <w:rsid w:val="00AD3C55"/>
    <w:rsid w:val="00B0261C"/>
    <w:rsid w:val="00B10784"/>
    <w:rsid w:val="00B107CC"/>
    <w:rsid w:val="00B161DC"/>
    <w:rsid w:val="00B3542B"/>
    <w:rsid w:val="00B36C91"/>
    <w:rsid w:val="00B76999"/>
    <w:rsid w:val="00B979A0"/>
    <w:rsid w:val="00BD58D7"/>
    <w:rsid w:val="00C0147C"/>
    <w:rsid w:val="00C10CB5"/>
    <w:rsid w:val="00C4028A"/>
    <w:rsid w:val="00C73304"/>
    <w:rsid w:val="00C75C91"/>
    <w:rsid w:val="00C929F2"/>
    <w:rsid w:val="00CA32D7"/>
    <w:rsid w:val="00CD36D1"/>
    <w:rsid w:val="00D36855"/>
    <w:rsid w:val="00D632F3"/>
    <w:rsid w:val="00D9527C"/>
    <w:rsid w:val="00DC0194"/>
    <w:rsid w:val="00DE63C1"/>
    <w:rsid w:val="00DF10EF"/>
    <w:rsid w:val="00E14762"/>
    <w:rsid w:val="00E15CE3"/>
    <w:rsid w:val="00E31E34"/>
    <w:rsid w:val="00E334D3"/>
    <w:rsid w:val="00E433A7"/>
    <w:rsid w:val="00E47CAD"/>
    <w:rsid w:val="00E6541A"/>
    <w:rsid w:val="00E758AE"/>
    <w:rsid w:val="00E81042"/>
    <w:rsid w:val="00E924DD"/>
    <w:rsid w:val="00ED49EA"/>
    <w:rsid w:val="00ED7922"/>
    <w:rsid w:val="00EF53D3"/>
    <w:rsid w:val="00F24015"/>
    <w:rsid w:val="00F25CB8"/>
    <w:rsid w:val="00F46708"/>
    <w:rsid w:val="00F564F2"/>
    <w:rsid w:val="00FA7829"/>
    <w:rsid w:val="00FC3951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D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EF53D3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85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53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53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36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C01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C3542-D95D-4BF7-9115-3C2F5195DA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96E078-E9C0-4A5B-B101-CCA6737E4796}">
  <ds:schemaRefs>
    <ds:schemaRef ds:uri="http://schemas.microsoft.com/office/2006/metadata/properties"/>
    <ds:schemaRef ds:uri="http://schemas.microsoft.com/office/infopath/2007/PartnerControls"/>
    <ds:schemaRef ds:uri="a943fffa-545b-4eca-b17d-5f9a138dda08"/>
    <ds:schemaRef ds:uri="c5cf19a6-e467-491d-9af0-5a70f09a6a41"/>
  </ds:schemaRefs>
</ds:datastoreItem>
</file>

<file path=customXml/itemProps4.xml><?xml version="1.0" encoding="utf-8"?>
<ds:datastoreItem xmlns:ds="http://schemas.openxmlformats.org/officeDocument/2006/customXml" ds:itemID="{530FCD1C-A908-462C-BA84-23A9C6430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3fffa-545b-4eca-b17d-5f9a138dda08"/>
    <ds:schemaRef ds:uri="c5cf19a6-e467-491d-9af0-5a70f09a6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Olesya Gilmutdinova</cp:lastModifiedBy>
  <cp:revision>5</cp:revision>
  <dcterms:created xsi:type="dcterms:W3CDTF">2023-03-27T09:08:00Z</dcterms:created>
  <dcterms:modified xsi:type="dcterms:W3CDTF">2023-04-04T14:49:00Z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