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10D9973F" w:rsidR="00E758AE" w:rsidRPr="00BE6BF1" w:rsidRDefault="00756558" w:rsidP="00E758AE">
      <w:pPr>
        <w:pStyle w:val="Title"/>
        <w:spacing w:after="440"/>
        <w:rPr>
          <w:szCs w:val="72"/>
        </w:rPr>
      </w:pPr>
      <w:r>
        <w:rPr>
          <w:szCs w:val="72"/>
        </w:rPr>
        <w:t>Percentages with a calculator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63C47A94" w14:textId="74A30000" w:rsidR="00AA0584" w:rsidRDefault="00AA0584" w:rsidP="00E758AE">
      <w:pPr>
        <w:pStyle w:val="ListParagraph"/>
        <w:numPr>
          <w:ilvl w:val="0"/>
          <w:numId w:val="1"/>
        </w:numPr>
      </w:pPr>
      <w:r w:rsidRPr="00AA0584">
        <w:t>Work out how to increase and decrease a quantity with a calculator</w:t>
      </w:r>
      <w:r w:rsidR="00952D99">
        <w:t>,</w:t>
      </w:r>
      <w:r w:rsidRPr="00AA0584">
        <w:t xml:space="preserve"> using a multiplier </w:t>
      </w:r>
    </w:p>
    <w:p w14:paraId="6CB7FD38" w14:textId="5374D66A" w:rsidR="00AA0584" w:rsidRDefault="000F6324" w:rsidP="00AA0584">
      <w:pPr>
        <w:pStyle w:val="ListParagraph"/>
        <w:numPr>
          <w:ilvl w:val="0"/>
          <w:numId w:val="1"/>
        </w:numPr>
      </w:pPr>
      <w:r>
        <w:t>S</w:t>
      </w:r>
      <w:r w:rsidR="00AA0584" w:rsidRPr="00AA0584">
        <w:t>olve a range of percentage questions using a multiplier (percentage of an amount, percentage increase/decrease, an amount as a percentage, reverse percentages)</w:t>
      </w:r>
      <w:bookmarkStart w:id="2" w:name="_Toc111717008"/>
    </w:p>
    <w:p w14:paraId="16337F18" w14:textId="39707EFB" w:rsidR="00AA0584" w:rsidRPr="00AA0584" w:rsidRDefault="000F6324" w:rsidP="00AA0584">
      <w:pPr>
        <w:pStyle w:val="ListParagraph"/>
        <w:numPr>
          <w:ilvl w:val="0"/>
          <w:numId w:val="1"/>
        </w:numPr>
      </w:pPr>
      <w:r>
        <w:t>U</w:t>
      </w:r>
      <w:r w:rsidR="00AA0584" w:rsidRPr="00AA0584">
        <w:t xml:space="preserve">se a </w:t>
      </w:r>
      <w:r>
        <w:t>d</w:t>
      </w:r>
      <w:r w:rsidR="00AA0584" w:rsidRPr="00AA0584">
        <w:t xml:space="preserve">ouble </w:t>
      </w:r>
      <w:r>
        <w:t>n</w:t>
      </w:r>
      <w:r w:rsidR="00AA0584" w:rsidRPr="00AA0584">
        <w:t xml:space="preserve">umber </w:t>
      </w:r>
      <w:r>
        <w:t>l</w:t>
      </w:r>
      <w:r w:rsidR="00AA0584" w:rsidRPr="00AA0584">
        <w:t xml:space="preserve">ine to see the common mathematical structure across a range of percentage questions </w:t>
      </w:r>
    </w:p>
    <w:p w14:paraId="67C938E1" w14:textId="101F0061" w:rsidR="00E758AE" w:rsidRPr="005E4E4A" w:rsidRDefault="00E758AE" w:rsidP="00757896">
      <w:pPr>
        <w:pStyle w:val="Centrelesresourcesheading"/>
        <w:pBdr>
          <w:bottom w:val="single" w:sz="4" w:space="0" w:color="4472C4" w:themeColor="accent1"/>
        </w:pBdr>
      </w:pPr>
      <w:r w:rsidRPr="005E4E4A">
        <w:t xml:space="preserve">2. </w:t>
      </w:r>
      <w:r w:rsidR="00360509">
        <w:t>Functional skills Level 2</w:t>
      </w:r>
      <w:r w:rsidRPr="005E4E4A">
        <w:t xml:space="preserve"> curriculum</w:t>
      </w:r>
      <w:bookmarkEnd w:id="2"/>
    </w:p>
    <w:p w14:paraId="42C63704" w14:textId="51D27AEC" w:rsidR="00757896" w:rsidRPr="00EC6FA2" w:rsidRDefault="00360509" w:rsidP="00E758AE">
      <w:pPr>
        <w:rPr>
          <w:rFonts w:ascii="Arial" w:hAnsi="Arial" w:cs="Arial"/>
          <w:iCs/>
        </w:rPr>
      </w:pPr>
      <w:r w:rsidRPr="00EC6FA2">
        <w:rPr>
          <w:rFonts w:ascii="Arial" w:hAnsi="Arial" w:cs="Arial"/>
          <w:b/>
          <w:bCs/>
          <w:iCs/>
        </w:rPr>
        <w:t>Using numbers and the number system</w:t>
      </w:r>
    </w:p>
    <w:p w14:paraId="7D932682" w14:textId="4D294198" w:rsidR="00E758AE" w:rsidRPr="00757896" w:rsidRDefault="00360509" w:rsidP="00E758AE">
      <w:pPr>
        <w:rPr>
          <w:rFonts w:ascii="Arial" w:hAnsi="Arial" w:cs="Arial"/>
        </w:rPr>
      </w:pPr>
      <w:r w:rsidRPr="00EC6FA2">
        <w:rPr>
          <w:rFonts w:ascii="Arial" w:hAnsi="Arial" w:cs="Arial"/>
          <w:b/>
          <w:bCs/>
          <w:iCs/>
        </w:rPr>
        <w:t>6</w:t>
      </w:r>
      <w:r w:rsidRPr="00EC6FA2">
        <w:rPr>
          <w:rFonts w:ascii="Arial" w:hAnsi="Arial" w:cs="Arial"/>
          <w:iCs/>
        </w:rPr>
        <w:t xml:space="preserve"> </w:t>
      </w:r>
      <w:r w:rsidR="006A7AB3" w:rsidRPr="00EC6FA2">
        <w:rPr>
          <w:rFonts w:ascii="Arial" w:hAnsi="Arial" w:cs="Arial"/>
          <w:iCs/>
        </w:rPr>
        <w:t>c</w:t>
      </w:r>
      <w:r w:rsidRPr="00757896">
        <w:rPr>
          <w:rFonts w:ascii="Arial" w:hAnsi="Arial" w:cs="Arial"/>
          <w:iCs/>
        </w:rPr>
        <w:t>alculate percentage change (any size increase and decrease), and original</w:t>
      </w:r>
      <w:r w:rsidR="00D35E37" w:rsidRPr="00EC6FA2">
        <w:rPr>
          <w:rFonts w:ascii="Arial" w:hAnsi="Arial" w:cs="Arial"/>
          <w:iCs/>
        </w:rPr>
        <w:t xml:space="preserve"> value after percentage change</w:t>
      </w: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D8E3E8" w14:textId="50017196" w:rsidR="00410E09" w:rsidRDefault="00E758AE" w:rsidP="00924CA8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9E018E3" w14:textId="626F62AE" w:rsidR="00410E09" w:rsidRPr="00410E09" w:rsidRDefault="00410E09" w:rsidP="00924CA8">
      <w:pPr>
        <w:spacing w:before="200" w:after="12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AA0584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13EB5195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2FBFABC3" w14:textId="5DE990AD" w:rsidR="00AA0584" w:rsidRPr="003E1B24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 address common misconceptions in finding percentages of an amount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61DFAE6A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CFDD7" w14:textId="77777777" w:rsidR="0048453D" w:rsidRPr="009E0CC4" w:rsidRDefault="0048453D" w:rsidP="007E7E69">
            <w:pPr>
              <w:spacing w:after="120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412F4D1A" w14:textId="77777777" w:rsidR="00AA0584" w:rsidRPr="0048453D" w:rsidRDefault="00AA0584" w:rsidP="00AA0584">
            <w:pPr>
              <w:rPr>
                <w:rFonts w:ascii="Arial" w:hAnsi="Arial" w:cs="Arial"/>
              </w:rPr>
            </w:pPr>
            <w:r w:rsidRPr="0048453D">
              <w:rPr>
                <w:rFonts w:ascii="Arial" w:hAnsi="Arial" w:cs="Arial"/>
              </w:rPr>
              <w:t xml:space="preserve">Misconceptions: </w:t>
            </w:r>
            <w:proofErr w:type="spellStart"/>
            <w:r w:rsidRPr="0048453D">
              <w:rPr>
                <w:rFonts w:ascii="Arial" w:hAnsi="Arial" w:cs="Arial"/>
              </w:rPr>
              <w:t>Khadeja</w:t>
            </w:r>
            <w:proofErr w:type="spellEnd"/>
            <w:r w:rsidRPr="0048453D">
              <w:rPr>
                <w:rFonts w:ascii="Arial" w:hAnsi="Arial" w:cs="Arial"/>
              </w:rPr>
              <w:t xml:space="preserve"> says that to find 10% of a number you divide by 10 and to find 20% you divide by 20. Is she correct?</w:t>
            </w:r>
          </w:p>
          <w:p w14:paraId="4C8CC9BC" w14:textId="45A587A3" w:rsidR="00AA0584" w:rsidRPr="007E7E69" w:rsidRDefault="00AA0584" w:rsidP="0048453D">
            <w:pPr>
              <w:rPr>
                <w:rFonts w:ascii="Arial" w:hAnsi="Arial" w:cs="Arial"/>
              </w:rPr>
            </w:pPr>
            <w:r w:rsidRPr="007E7E69">
              <w:rPr>
                <w:rFonts w:ascii="Arial" w:hAnsi="Arial" w:cs="Arial"/>
                <w:iCs/>
              </w:rPr>
              <w:t xml:space="preserve">Encourage </w:t>
            </w:r>
            <w:r w:rsidR="00791DBC" w:rsidRPr="007E7E69">
              <w:rPr>
                <w:rFonts w:ascii="Arial" w:hAnsi="Arial" w:cs="Arial"/>
                <w:iCs/>
              </w:rPr>
              <w:t xml:space="preserve">learners </w:t>
            </w:r>
            <w:r w:rsidRPr="007E7E69">
              <w:rPr>
                <w:rFonts w:ascii="Arial" w:hAnsi="Arial" w:cs="Arial"/>
                <w:iCs/>
              </w:rPr>
              <w:t>to discuss the question and their explanations in groups.</w:t>
            </w:r>
            <w:r w:rsidR="0048453D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 xml:space="preserve">Ensure that a range of views </w:t>
            </w:r>
            <w:r w:rsidR="00C65A3E">
              <w:rPr>
                <w:rFonts w:ascii="Arial" w:hAnsi="Arial" w:cs="Arial"/>
                <w:iCs/>
              </w:rPr>
              <w:t>is</w:t>
            </w:r>
            <w:r w:rsidR="00C65A3E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then discussed with the class rather than just stopping at the correct answer.</w:t>
            </w:r>
            <w:r w:rsidR="0048453D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Highlight that the original amount is 100%</w:t>
            </w:r>
            <w:r w:rsidR="00EE4D75">
              <w:rPr>
                <w:rFonts w:ascii="Arial" w:hAnsi="Arial" w:cs="Arial"/>
                <w:iCs/>
              </w:rPr>
              <w:t>,</w:t>
            </w:r>
            <w:r w:rsidRPr="007E7E69">
              <w:rPr>
                <w:rFonts w:ascii="Arial" w:hAnsi="Arial" w:cs="Arial"/>
                <w:iCs/>
              </w:rPr>
              <w:t xml:space="preserve"> to support </w:t>
            </w:r>
            <w:r w:rsidR="00791DBC" w:rsidRPr="007E7E69">
              <w:rPr>
                <w:rFonts w:ascii="Arial" w:hAnsi="Arial" w:cs="Arial"/>
                <w:iCs/>
              </w:rPr>
              <w:t>learners</w:t>
            </w:r>
            <w:r w:rsidR="004E4329" w:rsidRPr="007E7E69">
              <w:rPr>
                <w:rFonts w:ascii="Arial" w:hAnsi="Arial" w:cs="Arial"/>
                <w:iCs/>
              </w:rPr>
              <w:t>’</w:t>
            </w:r>
            <w:r w:rsidR="00791DBC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understanding.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50FF3A83" w:rsidR="00AA0584" w:rsidRPr="003E1B2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48453D">
              <w:rPr>
                <w:rFonts w:ascii="Arial" w:hAnsi="Arial" w:cs="Arial"/>
              </w:rPr>
              <w:t>s 1–</w:t>
            </w:r>
            <w:r>
              <w:rPr>
                <w:rFonts w:ascii="Arial" w:hAnsi="Arial" w:cs="Arial"/>
              </w:rPr>
              <w:t>2</w:t>
            </w:r>
          </w:p>
        </w:tc>
      </w:tr>
      <w:tr w:rsidR="00AA0584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0ACA8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Introduction</w:t>
            </w:r>
          </w:p>
          <w:p w14:paraId="561D3232" w14:textId="107E83D2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391B8BF8" w14:textId="7A514F21" w:rsidR="00AA0584" w:rsidRPr="003E1B24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To introduce the context </w:t>
            </w:r>
            <w:r w:rsidR="00A54390">
              <w:rPr>
                <w:rFonts w:ascii="Arial" w:hAnsi="Arial" w:cs="Arial"/>
              </w:rPr>
              <w:t>of</w:t>
            </w:r>
            <w:r w:rsidR="00A54390" w:rsidRPr="00662178">
              <w:rPr>
                <w:rFonts w:ascii="Arial" w:hAnsi="Arial" w:cs="Arial"/>
              </w:rPr>
              <w:t xml:space="preserve"> </w:t>
            </w:r>
            <w:r w:rsidRPr="00662178">
              <w:rPr>
                <w:rFonts w:ascii="Arial" w:hAnsi="Arial" w:cs="Arial"/>
              </w:rPr>
              <w:t>the lesson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44803" w14:textId="6A7493B8" w:rsidR="00AA0584" w:rsidRPr="00160562" w:rsidRDefault="00AA0584" w:rsidP="00AA05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5</w:t>
            </w:r>
          </w:p>
          <w:p w14:paraId="70D580D5" w14:textId="615EE4DB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52722721" w:rsidR="00AA0584" w:rsidRPr="0048453D" w:rsidRDefault="00AA0584" w:rsidP="00AA0584">
            <w:pPr>
              <w:rPr>
                <w:rFonts w:ascii="Arial" w:hAnsi="Arial" w:cs="Arial"/>
              </w:rPr>
            </w:pPr>
            <w:r w:rsidRPr="0048453D">
              <w:rPr>
                <w:rFonts w:ascii="Arial" w:hAnsi="Arial" w:cs="Arial"/>
              </w:rPr>
              <w:t xml:space="preserve">Jamie has a lot of financial decisions to make for his holiday and he is researching his accommodation in </w:t>
            </w:r>
            <w:r w:rsidR="00F9326B">
              <w:rPr>
                <w:rFonts w:ascii="Arial" w:hAnsi="Arial" w:cs="Arial"/>
              </w:rPr>
              <w:t>Spain</w:t>
            </w:r>
            <w:r w:rsidRPr="0048453D">
              <w:rPr>
                <w:rFonts w:ascii="Arial" w:hAnsi="Arial" w:cs="Arial"/>
              </w:rPr>
              <w:t xml:space="preserve">. He has found a hotel and is looking at the costs of the different </w:t>
            </w:r>
            <w:r w:rsidR="00965A2D" w:rsidRPr="0048453D">
              <w:rPr>
                <w:rFonts w:ascii="Arial" w:hAnsi="Arial" w:cs="Arial"/>
              </w:rPr>
              <w:br/>
            </w:r>
            <w:r w:rsidRPr="0048453D">
              <w:rPr>
                <w:rFonts w:ascii="Arial" w:hAnsi="Arial" w:cs="Arial"/>
              </w:rPr>
              <w:t>rooms available.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038BC" w14:textId="06A22451" w:rsidR="00AA0584" w:rsidRPr="003E1B2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3</w:t>
            </w:r>
          </w:p>
        </w:tc>
      </w:tr>
      <w:tr w:rsidR="00AA0584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57DBFE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Explore 1</w:t>
            </w:r>
          </w:p>
          <w:p w14:paraId="669F6B53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</w:p>
          <w:p w14:paraId="06A7A246" w14:textId="4AF5E9A5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6808FF4A" w14:textId="11932E63" w:rsidR="00AA0584" w:rsidRPr="003E1B24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 check current understanding</w:t>
            </w:r>
            <w:r>
              <w:rPr>
                <w:rFonts w:ascii="Arial" w:hAnsi="Arial" w:cs="Arial"/>
              </w:rPr>
              <w:t xml:space="preserve"> of finding percentages of amounts</w:t>
            </w:r>
            <w:r w:rsidRPr="00662178">
              <w:rPr>
                <w:rFonts w:ascii="Arial" w:hAnsi="Arial" w:cs="Arial"/>
              </w:rPr>
              <w:t xml:space="preserve"> and</w:t>
            </w:r>
            <w:r w:rsidR="00270615">
              <w:rPr>
                <w:rFonts w:ascii="Arial" w:hAnsi="Arial" w:cs="Arial"/>
              </w:rPr>
              <w:t xml:space="preserve"> to</w:t>
            </w:r>
            <w:r w:rsidRPr="00662178">
              <w:rPr>
                <w:rFonts w:ascii="Arial" w:hAnsi="Arial" w:cs="Arial"/>
              </w:rPr>
              <w:t xml:space="preserve"> focus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62178">
              <w:rPr>
                <w:rFonts w:ascii="Arial" w:hAnsi="Arial" w:cs="Arial"/>
              </w:rPr>
              <w:t xml:space="preserve"> </w:t>
            </w:r>
            <w:r w:rsidRPr="00662178">
              <w:rPr>
                <w:rFonts w:ascii="Arial" w:hAnsi="Arial" w:cs="Arial"/>
              </w:rPr>
              <w:t>on different methods and their efficiency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4FE9B27F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F69BDC" w14:textId="6CF1A8F7" w:rsidR="00AA0584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C07094">
              <w:rPr>
                <w:rFonts w:ascii="Arial" w:hAnsi="Arial" w:cs="Arial"/>
              </w:rPr>
              <w:t>In pairs</w:t>
            </w:r>
            <w:r w:rsidR="00791DBC">
              <w:rPr>
                <w:rFonts w:ascii="Arial" w:hAnsi="Arial" w:cs="Arial"/>
              </w:rPr>
              <w:t>,</w:t>
            </w:r>
            <w:r w:rsidRPr="00C07094">
              <w:rPr>
                <w:rFonts w:ascii="Arial" w:hAnsi="Arial" w:cs="Arial"/>
              </w:rPr>
              <w:t xml:space="preserve">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C07094">
              <w:rPr>
                <w:rFonts w:ascii="Arial" w:hAnsi="Arial" w:cs="Arial"/>
              </w:rPr>
              <w:t xml:space="preserve"> </w:t>
            </w:r>
            <w:r w:rsidRPr="00C07094">
              <w:rPr>
                <w:rFonts w:ascii="Arial" w:hAnsi="Arial" w:cs="Arial"/>
              </w:rPr>
              <w:t>calculate the costs of economy</w:t>
            </w:r>
            <w:r w:rsidR="00A23E8A">
              <w:rPr>
                <w:rFonts w:ascii="Arial" w:hAnsi="Arial" w:cs="Arial"/>
              </w:rPr>
              <w:t>, d</w:t>
            </w:r>
            <w:r w:rsidRPr="00C07094">
              <w:rPr>
                <w:rFonts w:ascii="Arial" w:hAnsi="Arial" w:cs="Arial"/>
              </w:rPr>
              <w:t>eluxe</w:t>
            </w:r>
            <w:r w:rsidR="00A23E8A">
              <w:rPr>
                <w:rFonts w:ascii="Arial" w:hAnsi="Arial" w:cs="Arial"/>
              </w:rPr>
              <w:t xml:space="preserve"> and</w:t>
            </w:r>
            <w:r w:rsidRPr="00C07094">
              <w:rPr>
                <w:rFonts w:ascii="Arial" w:hAnsi="Arial" w:cs="Arial"/>
              </w:rPr>
              <w:t xml:space="preserve"> super deluxe rooms with</w:t>
            </w:r>
            <w:r w:rsidR="00A23E8A">
              <w:rPr>
                <w:rFonts w:ascii="Arial" w:hAnsi="Arial" w:cs="Arial"/>
              </w:rPr>
              <w:t xml:space="preserve"> the</w:t>
            </w:r>
            <w:r w:rsidRPr="00C07094">
              <w:rPr>
                <w:rFonts w:ascii="Arial" w:hAnsi="Arial" w:cs="Arial"/>
              </w:rPr>
              <w:t xml:space="preserve"> </w:t>
            </w:r>
            <w:r w:rsidR="00B50C46">
              <w:rPr>
                <w:rFonts w:ascii="Arial" w:hAnsi="Arial" w:cs="Arial"/>
              </w:rPr>
              <w:t>‘</w:t>
            </w:r>
            <w:r w:rsidR="008E51B0" w:rsidRPr="00C07094">
              <w:rPr>
                <w:rFonts w:ascii="Arial" w:hAnsi="Arial" w:cs="Arial"/>
              </w:rPr>
              <w:t>standard</w:t>
            </w:r>
            <w:r w:rsidR="00B50C46">
              <w:rPr>
                <w:rFonts w:ascii="Arial" w:hAnsi="Arial" w:cs="Arial"/>
              </w:rPr>
              <w:t>’</w:t>
            </w:r>
            <w:r w:rsidR="008E51B0" w:rsidRPr="00C07094">
              <w:rPr>
                <w:rFonts w:ascii="Arial" w:hAnsi="Arial" w:cs="Arial"/>
              </w:rPr>
              <w:t xml:space="preserve"> </w:t>
            </w:r>
            <w:r w:rsidR="00A23E8A">
              <w:rPr>
                <w:rFonts w:ascii="Arial" w:hAnsi="Arial" w:cs="Arial"/>
              </w:rPr>
              <w:t xml:space="preserve">room </w:t>
            </w:r>
            <w:r w:rsidRPr="00C07094">
              <w:rPr>
                <w:rFonts w:ascii="Arial" w:hAnsi="Arial" w:cs="Arial"/>
              </w:rPr>
              <w:t xml:space="preserve">as the base price and the other types of room costed as a percentage of the </w:t>
            </w:r>
            <w:r w:rsidR="00B50C46">
              <w:rPr>
                <w:rFonts w:ascii="Arial" w:hAnsi="Arial" w:cs="Arial"/>
              </w:rPr>
              <w:t>‘</w:t>
            </w:r>
            <w:r w:rsidR="00BA18A2" w:rsidRPr="00C07094">
              <w:rPr>
                <w:rFonts w:ascii="Arial" w:hAnsi="Arial" w:cs="Arial"/>
              </w:rPr>
              <w:t>standard</w:t>
            </w:r>
            <w:r w:rsidR="00B50C46">
              <w:rPr>
                <w:rFonts w:ascii="Arial" w:hAnsi="Arial" w:cs="Arial"/>
              </w:rPr>
              <w:t>’</w:t>
            </w:r>
            <w:r w:rsidR="00BA18A2" w:rsidRPr="00C07094">
              <w:rPr>
                <w:rFonts w:ascii="Arial" w:hAnsi="Arial" w:cs="Arial"/>
              </w:rPr>
              <w:t xml:space="preserve"> </w:t>
            </w:r>
            <w:r w:rsidRPr="00C07094">
              <w:rPr>
                <w:rFonts w:ascii="Arial" w:hAnsi="Arial" w:cs="Arial"/>
              </w:rPr>
              <w:t xml:space="preserve">room. </w:t>
            </w:r>
          </w:p>
          <w:p w14:paraId="43C5AF27" w14:textId="77777777" w:rsidR="000F6324" w:rsidRDefault="000F6324" w:rsidP="00AA0584">
            <w:pPr>
              <w:rPr>
                <w:rFonts w:ascii="Arial" w:hAnsi="Arial" w:cs="Arial"/>
                <w:i/>
              </w:rPr>
            </w:pPr>
          </w:p>
          <w:p w14:paraId="187147FB" w14:textId="4B3D25D1" w:rsidR="00AA0584" w:rsidRPr="000F6324" w:rsidRDefault="00791DBC" w:rsidP="00AA0584">
            <w:pPr>
              <w:rPr>
                <w:rFonts w:ascii="Arial" w:hAnsi="Arial" w:cs="Arial"/>
                <w:iCs/>
              </w:rPr>
            </w:pPr>
            <w:r w:rsidRPr="007E7E69">
              <w:rPr>
                <w:rFonts w:ascii="Arial" w:hAnsi="Arial" w:cs="Arial"/>
                <w:iCs/>
              </w:rPr>
              <w:t xml:space="preserve">Learners </w:t>
            </w:r>
            <w:r w:rsidR="00AA0584" w:rsidRPr="007E7E69">
              <w:rPr>
                <w:rFonts w:ascii="Arial" w:hAnsi="Arial" w:cs="Arial"/>
                <w:iCs/>
              </w:rPr>
              <w:t xml:space="preserve">are encouraged to think about different methods to do these calculations and see which are more efficient.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264A12" w14:textId="584F77D9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8C542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3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4</w:t>
            </w:r>
          </w:p>
          <w:p w14:paraId="6D21CABE" w14:textId="77777777" w:rsidR="000F6324" w:rsidRDefault="000F6324" w:rsidP="00AA0584">
            <w:pPr>
              <w:rPr>
                <w:rFonts w:ascii="Arial" w:hAnsi="Arial" w:cs="Arial"/>
              </w:rPr>
            </w:pPr>
          </w:p>
          <w:p w14:paraId="54F44FA8" w14:textId="5A0AA6F6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Jamie’s </w:t>
            </w:r>
            <w:r w:rsidR="0024297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otel room</w:t>
            </w:r>
            <w:r w:rsidR="00462D7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handout</w:t>
            </w:r>
          </w:p>
          <w:p w14:paraId="6D8E28B9" w14:textId="77777777" w:rsidR="000F6324" w:rsidRDefault="000F6324" w:rsidP="00AA0584">
            <w:pPr>
              <w:rPr>
                <w:rFonts w:ascii="Arial" w:hAnsi="Arial" w:cs="Arial"/>
              </w:rPr>
            </w:pPr>
          </w:p>
          <w:p w14:paraId="4D82EB49" w14:textId="3BA0C5EF" w:rsidR="00AA0584" w:rsidRPr="003E1B2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</w:tbl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AA0584" w:rsidRPr="009D7339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BAE730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  <w:p w14:paraId="173E5B1A" w14:textId="75AD058D" w:rsidR="00AA0584" w:rsidRPr="009D7339" w:rsidRDefault="00AA0584" w:rsidP="00AA0584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4E39A992" w14:textId="40A10FC7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 highlight different methods including using multipliers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62F6D57B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421378" w14:textId="04DDF9F1" w:rsidR="00AA0584" w:rsidRPr="006C3CAE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 xml:space="preserve">Groups </w:t>
            </w:r>
            <w:r w:rsidR="00A23E8A">
              <w:rPr>
                <w:rFonts w:ascii="Arial" w:hAnsi="Arial" w:cs="Arial"/>
              </w:rPr>
              <w:t xml:space="preserve">give </w:t>
            </w:r>
            <w:r w:rsidRPr="006C3CAE">
              <w:rPr>
                <w:rFonts w:ascii="Arial" w:hAnsi="Arial" w:cs="Arial"/>
              </w:rPr>
              <w:t xml:space="preserve">feedback </w:t>
            </w:r>
            <w:r w:rsidR="000F6324">
              <w:rPr>
                <w:rFonts w:ascii="Arial" w:hAnsi="Arial" w:cs="Arial"/>
              </w:rPr>
              <w:t xml:space="preserve">on </w:t>
            </w:r>
            <w:r w:rsidRPr="006C3CAE">
              <w:rPr>
                <w:rFonts w:ascii="Arial" w:hAnsi="Arial" w:cs="Arial"/>
              </w:rPr>
              <w:t>how they completed the calculations.</w:t>
            </w:r>
          </w:p>
          <w:p w14:paraId="7CF1B05E" w14:textId="590B9393" w:rsidR="00AA0584" w:rsidRPr="006C3CAE" w:rsidRDefault="00823C65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A0584" w:rsidRPr="006C3CAE">
              <w:rPr>
                <w:rFonts w:ascii="Arial" w:hAnsi="Arial" w:cs="Arial"/>
              </w:rPr>
              <w:t xml:space="preserve">odel their answers on </w:t>
            </w:r>
            <w:r w:rsidR="00592C64">
              <w:rPr>
                <w:rFonts w:ascii="Arial" w:hAnsi="Arial" w:cs="Arial"/>
              </w:rPr>
              <w:t>double number lines</w:t>
            </w:r>
            <w:r>
              <w:rPr>
                <w:rFonts w:ascii="Arial" w:hAnsi="Arial" w:cs="Arial"/>
              </w:rPr>
              <w:t>,</w:t>
            </w:r>
            <w:r w:rsidR="00AA0584" w:rsidRPr="006C3CAE">
              <w:rPr>
                <w:rFonts w:ascii="Arial" w:hAnsi="Arial" w:cs="Arial"/>
              </w:rPr>
              <w:t xml:space="preserve"> including the use of multipliers</w:t>
            </w:r>
            <w:r w:rsidR="00BE6466">
              <w:rPr>
                <w:rFonts w:ascii="Arial" w:hAnsi="Arial" w:cs="Arial"/>
              </w:rPr>
              <w:t>,</w:t>
            </w:r>
            <w:r w:rsidR="00AA0584" w:rsidRPr="006C3CAE">
              <w:rPr>
                <w:rFonts w:ascii="Arial" w:hAnsi="Arial" w:cs="Arial"/>
              </w:rPr>
              <w:t xml:space="preserve"> if not mentioned by </w:t>
            </w:r>
            <w:r w:rsidR="00791DBC">
              <w:rPr>
                <w:rFonts w:ascii="Arial" w:hAnsi="Arial" w:cs="Arial"/>
              </w:rPr>
              <w:t>learners</w:t>
            </w:r>
            <w:r w:rsidR="00AA0584" w:rsidRPr="006C3CAE">
              <w:rPr>
                <w:rFonts w:ascii="Arial" w:hAnsi="Arial" w:cs="Arial"/>
              </w:rPr>
              <w:t xml:space="preserve">. </w:t>
            </w:r>
          </w:p>
          <w:p w14:paraId="5F07F4D1" w14:textId="77777777" w:rsidR="00AA0584" w:rsidRPr="0065246D" w:rsidRDefault="00AA0584" w:rsidP="007E7E69">
            <w:pPr>
              <w:pStyle w:val="ListParagraph"/>
              <w:numPr>
                <w:ilvl w:val="0"/>
                <w:numId w:val="3"/>
              </w:numPr>
              <w:ind w:left="452" w:hanging="425"/>
              <w:rPr>
                <w:iCs/>
              </w:rPr>
            </w:pPr>
            <w:r w:rsidRPr="0065246D">
              <w:rPr>
                <w:iCs/>
              </w:rPr>
              <w:t>What methods did you use to calculate the answers?</w:t>
            </w:r>
          </w:p>
          <w:p w14:paraId="4F47DAB4" w14:textId="77777777" w:rsidR="00AA0584" w:rsidRPr="0065246D" w:rsidRDefault="00AA0584" w:rsidP="007E7E69">
            <w:pPr>
              <w:pStyle w:val="ListParagraph"/>
              <w:numPr>
                <w:ilvl w:val="0"/>
                <w:numId w:val="3"/>
              </w:numPr>
              <w:ind w:left="452" w:hanging="425"/>
              <w:rPr>
                <w:iCs/>
              </w:rPr>
            </w:pPr>
            <w:r w:rsidRPr="0065246D">
              <w:rPr>
                <w:iCs/>
              </w:rPr>
              <w:t>What is the most efficient way to do that with a calculator?</w:t>
            </w:r>
          </w:p>
          <w:p w14:paraId="129E10FF" w14:textId="12BB9324" w:rsidR="00AA0584" w:rsidRPr="007E7E69" w:rsidRDefault="00AA0584" w:rsidP="007E7E69">
            <w:pPr>
              <w:pStyle w:val="ListParagraph"/>
              <w:numPr>
                <w:ilvl w:val="0"/>
                <w:numId w:val="3"/>
              </w:numPr>
              <w:ind w:left="452" w:hanging="425"/>
              <w:rPr>
                <w:i/>
              </w:rPr>
            </w:pPr>
            <w:r w:rsidRPr="0065246D">
              <w:rPr>
                <w:iCs/>
              </w:rPr>
              <w:t xml:space="preserve">Which </w:t>
            </w:r>
            <w:r w:rsidR="00B80DE3" w:rsidRPr="0065246D">
              <w:rPr>
                <w:iCs/>
              </w:rPr>
              <w:t xml:space="preserve">methods </w:t>
            </w:r>
            <w:r w:rsidRPr="0065246D">
              <w:rPr>
                <w:iCs/>
              </w:rPr>
              <w:t xml:space="preserve">are you confident </w:t>
            </w:r>
            <w:r w:rsidR="00B80DE3" w:rsidRPr="0065246D">
              <w:rPr>
                <w:iCs/>
              </w:rPr>
              <w:t>using</w:t>
            </w:r>
            <w:r w:rsidRPr="0065246D">
              <w:rPr>
                <w:iCs/>
              </w:rPr>
              <w:t>?</w:t>
            </w:r>
          </w:p>
          <w:p w14:paraId="3133BAC4" w14:textId="3ED89AEE" w:rsidR="00AA0584" w:rsidRPr="00823C65" w:rsidRDefault="00823C65" w:rsidP="00AA0584">
            <w:pPr>
              <w:rPr>
                <w:rFonts w:ascii="Arial" w:hAnsi="Arial" w:cs="Arial"/>
                <w:iCs/>
              </w:rPr>
            </w:pPr>
            <w:r w:rsidRPr="007E7E69">
              <w:rPr>
                <w:rFonts w:ascii="Arial" w:hAnsi="Arial" w:cs="Arial"/>
                <w:iCs/>
              </w:rPr>
              <w:t>P</w:t>
            </w:r>
            <w:r w:rsidR="00AA0584" w:rsidRPr="007E7E69">
              <w:rPr>
                <w:rFonts w:ascii="Arial" w:hAnsi="Arial" w:cs="Arial"/>
                <w:iCs/>
              </w:rPr>
              <w:t>romote the use of multipliers.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48DC7D" w14:textId="16BC78ED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5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7</w:t>
            </w:r>
          </w:p>
        </w:tc>
      </w:tr>
      <w:tr w:rsidR="00AA0584" w:rsidRPr="009D7339" w14:paraId="3FEA597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8B1B2" w14:textId="154F28F1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44D5A413" w14:textId="7E82573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model creating </w:t>
            </w:r>
            <w:r w:rsidR="00592C64">
              <w:rPr>
                <w:rFonts w:ascii="Arial" w:hAnsi="Arial" w:cs="Arial"/>
              </w:rPr>
              <w:t>double number lines</w:t>
            </w:r>
            <w:r w:rsidR="00592C64" w:rsidDel="00592C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percentage questions and </w:t>
            </w:r>
            <w:r w:rsidR="006324EF">
              <w:rPr>
                <w:rFonts w:ascii="Arial" w:hAnsi="Arial" w:cs="Arial"/>
              </w:rPr>
              <w:t xml:space="preserve">to </w:t>
            </w:r>
            <w:r w:rsidR="00E23BEA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>using them to support answer</w:t>
            </w:r>
            <w:r w:rsidR="00C423F2">
              <w:rPr>
                <w:rFonts w:ascii="Arial" w:hAnsi="Arial" w:cs="Arial"/>
              </w:rPr>
              <w:t xml:space="preserve">s </w:t>
            </w:r>
            <w:r w:rsidR="00E43641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questions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3F66" w14:textId="2B37C281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F00700" w14:textId="6958AB1A" w:rsidR="00AA0584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>Jamie is booking his holiday flights and is looking at the cost of flying at different times</w:t>
            </w:r>
            <w:r w:rsidR="004202CB">
              <w:rPr>
                <w:rFonts w:ascii="Arial" w:hAnsi="Arial" w:cs="Arial"/>
              </w:rPr>
              <w:t xml:space="preserve"> </w:t>
            </w:r>
            <w:r w:rsidR="0014725D">
              <w:rPr>
                <w:rFonts w:ascii="Arial" w:hAnsi="Arial" w:cs="Arial"/>
              </w:rPr>
              <w:t>and at</w:t>
            </w:r>
            <w:r w:rsidRPr="006C3CAE">
              <w:rPr>
                <w:rFonts w:ascii="Arial" w:hAnsi="Arial" w:cs="Arial"/>
              </w:rPr>
              <w:t xml:space="preserve"> the additional charges for luggage and seat booking.</w:t>
            </w:r>
          </w:p>
          <w:p w14:paraId="234964B1" w14:textId="77777777" w:rsidR="00AA0584" w:rsidRPr="006C3CAE" w:rsidRDefault="00AA0584" w:rsidP="00AA0584">
            <w:pPr>
              <w:rPr>
                <w:rFonts w:ascii="Arial" w:hAnsi="Arial" w:cs="Arial"/>
              </w:rPr>
            </w:pPr>
          </w:p>
          <w:p w14:paraId="6501055E" w14:textId="3923E9B3" w:rsidR="00AA0584" w:rsidRPr="009D7339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 xml:space="preserve">In pairs or small groups,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 xml:space="preserve">match </w:t>
            </w:r>
            <w:r w:rsidR="00791DBC">
              <w:rPr>
                <w:rFonts w:ascii="Arial" w:hAnsi="Arial" w:cs="Arial"/>
              </w:rPr>
              <w:t>six</w:t>
            </w:r>
            <w:r w:rsidRPr="006C3CAE">
              <w:rPr>
                <w:rFonts w:ascii="Arial" w:hAnsi="Arial" w:cs="Arial"/>
              </w:rPr>
              <w:t xml:space="preserve"> percentage scenarios with a set of pre-drawn </w:t>
            </w:r>
            <w:r w:rsidR="00592C64">
              <w:rPr>
                <w:rFonts w:ascii="Arial" w:hAnsi="Arial" w:cs="Arial"/>
              </w:rPr>
              <w:t>double number lines</w:t>
            </w:r>
            <w:r w:rsidRPr="006C3CAE">
              <w:rPr>
                <w:rFonts w:ascii="Arial" w:hAnsi="Arial" w:cs="Arial"/>
              </w:rPr>
              <w:t xml:space="preserve">. The set will include a scenario that matches to a blank </w:t>
            </w:r>
            <w:r w:rsidR="00592C64">
              <w:rPr>
                <w:rFonts w:ascii="Arial" w:hAnsi="Arial" w:cs="Arial"/>
              </w:rPr>
              <w:t>double number line</w:t>
            </w:r>
            <w:r w:rsidR="00592C64" w:rsidRPr="006C3CAE" w:rsidDel="00592C64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 xml:space="preserve">and vice versa.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>can then use the</w:t>
            </w:r>
            <w:r w:rsidR="00592C64">
              <w:rPr>
                <w:rFonts w:ascii="Arial" w:hAnsi="Arial" w:cs="Arial"/>
              </w:rPr>
              <w:t xml:space="preserve"> double number lines</w:t>
            </w:r>
            <w:r w:rsidR="00592C64" w:rsidRPr="006C3CAE" w:rsidDel="00592C64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>to help them solve the problems</w:t>
            </w:r>
            <w:r w:rsidR="00BA0CA5">
              <w:rPr>
                <w:rFonts w:ascii="Arial" w:hAnsi="Arial" w:cs="Arial"/>
              </w:rPr>
              <w:t>,</w:t>
            </w:r>
            <w:r w:rsidRPr="006C3CAE">
              <w:rPr>
                <w:rFonts w:ascii="Arial" w:hAnsi="Arial" w:cs="Arial"/>
              </w:rPr>
              <w:t xml:space="preserve"> which will involve percentage of amounts, percentage increase, amounts as percentages and reverse percentages</w:t>
            </w:r>
            <w:r w:rsidR="0003794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08B66" w14:textId="2CCE8A7E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8C542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8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10</w:t>
            </w:r>
          </w:p>
          <w:p w14:paraId="17F0747D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7EB1AE3B" w14:textId="497C8E13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Matching </w:t>
            </w:r>
            <w:r w:rsidR="0024297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ctivity handout</w:t>
            </w:r>
          </w:p>
          <w:p w14:paraId="017610F0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7337D4C4" w14:textId="2974724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  <w:tr w:rsidR="00AA0584" w:rsidRPr="009D7339" w14:paraId="6CCE588F" w14:textId="77777777" w:rsidTr="000A4749">
        <w:trPr>
          <w:trHeight w:val="95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60FCE" w14:textId="78E01618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Practice</w:t>
            </w:r>
          </w:p>
        </w:tc>
        <w:tc>
          <w:tcPr>
            <w:tcW w:w="2275" w:type="dxa"/>
          </w:tcPr>
          <w:p w14:paraId="78491DCF" w14:textId="09A8E149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8E1823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 xml:space="preserve">interpreting similar looking questions to identify the key information and </w:t>
            </w:r>
            <w:r w:rsidR="009C5B65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use an efficient method to solve them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99572" w14:textId="5E85ABB6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0BBD5B" w14:textId="327B2302" w:rsidR="00AA0584" w:rsidRPr="006C3CAE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>Jamie is buying some essentials for his holiday including sunglasses and suntan cream. He is looking at the various deals in the shop</w:t>
            </w:r>
            <w:r w:rsidR="0009600E">
              <w:rPr>
                <w:rFonts w:ascii="Arial" w:hAnsi="Arial" w:cs="Arial"/>
              </w:rPr>
              <w:t>s</w:t>
            </w:r>
            <w:r w:rsidRPr="006C3CAE">
              <w:rPr>
                <w:rFonts w:ascii="Arial" w:hAnsi="Arial" w:cs="Arial"/>
              </w:rPr>
              <w:t>.</w:t>
            </w:r>
          </w:p>
          <w:p w14:paraId="1A6C436C" w14:textId="17FE84D2" w:rsidR="00AA0584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 xml:space="preserve">In pairs,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 xml:space="preserve">solve four different percentage </w:t>
            </w:r>
            <w:r w:rsidR="005770AC">
              <w:rPr>
                <w:rFonts w:ascii="Arial" w:hAnsi="Arial" w:cs="Arial"/>
              </w:rPr>
              <w:t>problems</w:t>
            </w:r>
            <w:r w:rsidR="005770A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>with very similar numbers, without any scaffolding</w:t>
            </w:r>
            <w:r>
              <w:rPr>
                <w:rFonts w:ascii="Arial" w:hAnsi="Arial" w:cs="Arial"/>
              </w:rPr>
              <w:t xml:space="preserve">. </w:t>
            </w:r>
          </w:p>
          <w:p w14:paraId="46634746" w14:textId="69A50242" w:rsidR="00AA0584" w:rsidRPr="007E7E69" w:rsidRDefault="00791DBC" w:rsidP="00AA0584">
            <w:pPr>
              <w:rPr>
                <w:rFonts w:ascii="Arial" w:hAnsi="Arial" w:cs="Arial"/>
                <w:iCs/>
              </w:rPr>
            </w:pPr>
            <w:r w:rsidRPr="007E7E69">
              <w:rPr>
                <w:rFonts w:ascii="Arial" w:hAnsi="Arial" w:cs="Arial"/>
                <w:iCs/>
              </w:rPr>
              <w:t xml:space="preserve">Learners </w:t>
            </w:r>
            <w:r w:rsidR="00AA0584" w:rsidRPr="007E7E69">
              <w:rPr>
                <w:rFonts w:ascii="Arial" w:hAnsi="Arial" w:cs="Arial"/>
                <w:iCs/>
              </w:rPr>
              <w:t>will use the methods they feel confident with.</w:t>
            </w:r>
          </w:p>
          <w:p w14:paraId="12B70B03" w14:textId="6B824CFF" w:rsidR="00AA0584" w:rsidRPr="009D7339" w:rsidRDefault="00AA0584" w:rsidP="00AA0584">
            <w:pPr>
              <w:rPr>
                <w:rFonts w:ascii="Arial" w:hAnsi="Arial" w:cs="Arial"/>
              </w:rPr>
            </w:pPr>
            <w:r w:rsidRPr="007E7E69">
              <w:rPr>
                <w:rFonts w:ascii="Arial" w:hAnsi="Arial" w:cs="Arial"/>
                <w:iCs/>
              </w:rPr>
              <w:t xml:space="preserve">Encourage </w:t>
            </w:r>
            <w:r w:rsidR="00791DBC" w:rsidRPr="007E7E69">
              <w:rPr>
                <w:rFonts w:ascii="Arial" w:hAnsi="Arial" w:cs="Arial"/>
                <w:iCs/>
              </w:rPr>
              <w:t xml:space="preserve">learners </w:t>
            </w:r>
            <w:r w:rsidRPr="007E7E69">
              <w:rPr>
                <w:rFonts w:ascii="Arial" w:hAnsi="Arial" w:cs="Arial"/>
                <w:iCs/>
              </w:rPr>
              <w:t xml:space="preserve">to draw </w:t>
            </w:r>
            <w:r w:rsidR="00592C64">
              <w:rPr>
                <w:rFonts w:ascii="Arial" w:hAnsi="Arial" w:cs="Arial"/>
              </w:rPr>
              <w:t>double number lines</w:t>
            </w:r>
            <w:r w:rsidR="00592C64" w:rsidRPr="00592C64" w:rsidDel="00592C64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for the situations they are not confident about.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A40DB" w14:textId="2B451BFC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8C542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11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12</w:t>
            </w:r>
          </w:p>
          <w:p w14:paraId="5506EC25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059E3870" w14:textId="650D4119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Holiday </w:t>
            </w:r>
            <w:r w:rsidR="0024297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hopping handout</w:t>
            </w:r>
          </w:p>
          <w:p w14:paraId="21E7D0DE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132E2857" w14:textId="5544A69E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</w:tbl>
    <w:p w14:paraId="456E9DDC" w14:textId="1043BD07" w:rsidR="00AA0584" w:rsidRDefault="00AA0584">
      <w:pPr>
        <w:spacing w:after="160" w:line="259" w:lineRule="auto"/>
      </w:pP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AA0584" w:rsidRPr="009D7339" w14:paraId="25FF2FE2" w14:textId="77777777" w:rsidTr="008632E2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AD0DF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171BCD96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AAAD6A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B7EA5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65030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AA0584" w:rsidRPr="009D7339" w14:paraId="02180D62" w14:textId="77777777" w:rsidTr="008632E2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E6E24B" w14:textId="18ABD21D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Exam </w:t>
            </w:r>
            <w:r w:rsidR="0048453D">
              <w:rPr>
                <w:rFonts w:ascii="Arial" w:hAnsi="Arial" w:cs="Arial"/>
              </w:rPr>
              <w:t>q</w:t>
            </w:r>
            <w:r w:rsidRPr="00662178">
              <w:rPr>
                <w:rFonts w:ascii="Arial" w:hAnsi="Arial" w:cs="Arial"/>
              </w:rPr>
              <w:t>uestion</w:t>
            </w:r>
            <w:r w:rsidR="008C5429">
              <w:rPr>
                <w:rFonts w:ascii="Arial" w:hAnsi="Arial" w:cs="Arial"/>
              </w:rPr>
              <w:t>s</w:t>
            </w:r>
          </w:p>
        </w:tc>
        <w:tc>
          <w:tcPr>
            <w:tcW w:w="2275" w:type="dxa"/>
          </w:tcPr>
          <w:p w14:paraId="18843788" w14:textId="5AB68CFE" w:rsidR="00AA0584" w:rsidRPr="009D7339" w:rsidRDefault="00924CA8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apply learning to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531F8B" w14:textId="1506166F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1789C4" w14:textId="6465AF1B" w:rsidR="00AA0584" w:rsidRDefault="00924CA8" w:rsidP="00AA058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Learners work independently on exam questions. Ask learners:</w:t>
            </w:r>
          </w:p>
          <w:p w14:paraId="5E0D1D96" w14:textId="2BFB8397" w:rsidR="00AA0584" w:rsidRPr="00FC1B3F" w:rsidRDefault="00AA0584" w:rsidP="007E7E69">
            <w:pPr>
              <w:pStyle w:val="ListParagraph"/>
              <w:numPr>
                <w:ilvl w:val="0"/>
                <w:numId w:val="4"/>
              </w:numPr>
              <w:ind w:left="452" w:hanging="452"/>
              <w:rPr>
                <w:iCs/>
              </w:rPr>
            </w:pPr>
            <w:r w:rsidRPr="00FC1B3F">
              <w:rPr>
                <w:iCs/>
              </w:rPr>
              <w:t xml:space="preserve">Do </w:t>
            </w:r>
            <w:r w:rsidR="00924CA8">
              <w:rPr>
                <w:iCs/>
              </w:rPr>
              <w:t>they</w:t>
            </w:r>
            <w:r w:rsidR="00924CA8" w:rsidRPr="00FC1B3F">
              <w:rPr>
                <w:iCs/>
              </w:rPr>
              <w:t xml:space="preserve"> </w:t>
            </w:r>
            <w:r w:rsidRPr="00FC1B3F">
              <w:rPr>
                <w:iCs/>
              </w:rPr>
              <w:t>feel confident about how to start?</w:t>
            </w:r>
          </w:p>
          <w:p w14:paraId="3834E739" w14:textId="3C845292" w:rsidR="00AA0584" w:rsidRPr="00FC1B3F" w:rsidRDefault="00AA0584" w:rsidP="007E7E69">
            <w:pPr>
              <w:pStyle w:val="ListParagraph"/>
              <w:numPr>
                <w:ilvl w:val="0"/>
                <w:numId w:val="4"/>
              </w:numPr>
              <w:ind w:left="452" w:hanging="452"/>
              <w:rPr>
                <w:iCs/>
              </w:rPr>
            </w:pPr>
            <w:r w:rsidRPr="00FC1B3F">
              <w:rPr>
                <w:iCs/>
              </w:rPr>
              <w:t xml:space="preserve">Can they draw and fill in a </w:t>
            </w:r>
            <w:r w:rsidR="00592C64">
              <w:t>double number line</w:t>
            </w:r>
            <w:r w:rsidR="00592C64" w:rsidRPr="00FC1B3F" w:rsidDel="00592C64">
              <w:rPr>
                <w:iCs/>
              </w:rPr>
              <w:t xml:space="preserve"> </w:t>
            </w:r>
            <w:r w:rsidRPr="00FC1B3F">
              <w:rPr>
                <w:iCs/>
              </w:rPr>
              <w:t xml:space="preserve">to </w:t>
            </w:r>
            <w:r w:rsidR="00592C64">
              <w:rPr>
                <w:iCs/>
              </w:rPr>
              <w:br/>
            </w:r>
            <w:r w:rsidRPr="00FC1B3F">
              <w:rPr>
                <w:iCs/>
              </w:rPr>
              <w:t>help them</w:t>
            </w:r>
            <w:r w:rsidR="00211C0B">
              <w:rPr>
                <w:iCs/>
              </w:rPr>
              <w:t xml:space="preserve"> to </w:t>
            </w:r>
            <w:r w:rsidR="004C7EFB">
              <w:rPr>
                <w:iCs/>
              </w:rPr>
              <w:t>solve the problem</w:t>
            </w:r>
            <w:r w:rsidRPr="00FC1B3F">
              <w:rPr>
                <w:iCs/>
              </w:rPr>
              <w:t>?</w:t>
            </w:r>
          </w:p>
          <w:p w14:paraId="70321598" w14:textId="4362CE0E" w:rsidR="00AA0584" w:rsidRPr="009D7339" w:rsidRDefault="00AA0584" w:rsidP="0065246D">
            <w:pPr>
              <w:pStyle w:val="ListParagraph"/>
              <w:numPr>
                <w:ilvl w:val="0"/>
                <w:numId w:val="4"/>
              </w:numPr>
              <w:ind w:left="452" w:hanging="452"/>
            </w:pPr>
            <w:r w:rsidRPr="00FC1B3F">
              <w:rPr>
                <w:iCs/>
              </w:rPr>
              <w:t>Can they calculate the multiplier?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7AF2E" w14:textId="2C5B3940" w:rsidR="00AA0584" w:rsidRDefault="00523F90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8C542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13</w:t>
            </w:r>
            <w:r w:rsidR="00644243">
              <w:rPr>
                <w:rFonts w:ascii="Arial" w:hAnsi="Arial" w:cs="Arial"/>
              </w:rPr>
              <w:t>–</w:t>
            </w:r>
            <w:r w:rsidR="00360509">
              <w:rPr>
                <w:rFonts w:ascii="Arial" w:hAnsi="Arial" w:cs="Arial"/>
              </w:rPr>
              <w:t>1</w:t>
            </w:r>
            <w:r w:rsidR="005F7462">
              <w:rPr>
                <w:rFonts w:ascii="Arial" w:hAnsi="Arial" w:cs="Arial"/>
              </w:rPr>
              <w:t>4</w:t>
            </w:r>
          </w:p>
          <w:p w14:paraId="4C5FA520" w14:textId="77777777" w:rsidR="006670FB" w:rsidRDefault="006670FB" w:rsidP="00AA0584">
            <w:pPr>
              <w:rPr>
                <w:rFonts w:ascii="Arial" w:hAnsi="Arial" w:cs="Arial"/>
              </w:rPr>
            </w:pPr>
          </w:p>
          <w:p w14:paraId="4C7365E0" w14:textId="5888510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question handout</w:t>
            </w:r>
          </w:p>
        </w:tc>
      </w:tr>
      <w:tr w:rsidR="00AA0584" w:rsidRPr="009D7339" w14:paraId="752CB7C8" w14:textId="77777777" w:rsidTr="008632E2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61542" w14:textId="7448FA93" w:rsidR="00AA0584" w:rsidRPr="009D7339" w:rsidRDefault="004E4329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D2A68B6" w14:textId="29A3A4FD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summarise the key learning points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FCF87" w14:textId="2EC1BEA2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8C5BB" w14:textId="4087CED8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 w:rsidRPr="00E62476">
              <w:rPr>
                <w:rFonts w:ascii="Arial" w:hAnsi="Arial" w:cs="Arial"/>
                <w:noProof/>
                <w:lang w:eastAsia="en-GB"/>
              </w:rPr>
              <w:t xml:space="preserve">Review </w:t>
            </w:r>
            <w:r w:rsidR="00636C2C">
              <w:rPr>
                <w:rFonts w:ascii="Arial" w:hAnsi="Arial" w:cs="Arial"/>
                <w:noProof/>
                <w:lang w:eastAsia="en-GB"/>
              </w:rPr>
              <w:t>what was learned during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the lesson (identifying what value is the original 100% and what </w:t>
            </w:r>
            <w:r w:rsidR="00FC1B3F">
              <w:rPr>
                <w:rFonts w:ascii="Arial" w:hAnsi="Arial" w:cs="Arial"/>
                <w:noProof/>
                <w:lang w:eastAsia="en-GB"/>
              </w:rPr>
              <w:t>percentage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the new amount is</w:t>
            </w:r>
            <w:r w:rsidR="00FC1B3F">
              <w:rPr>
                <w:rFonts w:ascii="Arial" w:hAnsi="Arial" w:cs="Arial"/>
                <w:noProof/>
                <w:lang w:eastAsia="en-GB"/>
              </w:rPr>
              <w:t>, and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how to find and use multipliers to find the missing value) </w:t>
            </w:r>
            <w:r>
              <w:rPr>
                <w:rFonts w:ascii="Arial" w:hAnsi="Arial" w:cs="Arial"/>
                <w:noProof/>
                <w:lang w:eastAsia="en-GB"/>
              </w:rPr>
              <w:t xml:space="preserve">by going through the method for the </w:t>
            </w:r>
            <w:r w:rsidRPr="00E62476">
              <w:rPr>
                <w:rFonts w:ascii="Arial" w:hAnsi="Arial" w:cs="Arial"/>
                <w:noProof/>
                <w:lang w:eastAsia="en-GB"/>
              </w:rPr>
              <w:t>exam question</w:t>
            </w:r>
            <w:r>
              <w:rPr>
                <w:rFonts w:ascii="Arial" w:hAnsi="Arial" w:cs="Arial"/>
                <w:noProof/>
                <w:lang w:eastAsia="en-GB"/>
              </w:rPr>
              <w:t>.</w:t>
            </w:r>
          </w:p>
          <w:p w14:paraId="3136684F" w14:textId="7BCFDE6B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Review the </w:t>
            </w:r>
            <w:r w:rsidR="00FC1B3F">
              <w:rPr>
                <w:rFonts w:ascii="Arial" w:hAnsi="Arial" w:cs="Arial"/>
                <w:noProof/>
                <w:lang w:eastAsia="en-GB"/>
              </w:rPr>
              <w:t>l</w:t>
            </w:r>
            <w:r>
              <w:rPr>
                <w:rFonts w:ascii="Arial" w:hAnsi="Arial" w:cs="Arial"/>
                <w:noProof/>
                <w:lang w:eastAsia="en-GB"/>
              </w:rPr>
              <w:t xml:space="preserve">earning </w:t>
            </w:r>
            <w:r w:rsidR="00FC1B3F">
              <w:rPr>
                <w:rFonts w:ascii="Arial" w:hAnsi="Arial" w:cs="Arial"/>
                <w:noProof/>
                <w:lang w:eastAsia="en-GB"/>
              </w:rPr>
              <w:t>o</w:t>
            </w:r>
            <w:r>
              <w:rPr>
                <w:rFonts w:ascii="Arial" w:hAnsi="Arial" w:cs="Arial"/>
                <w:noProof/>
                <w:lang w:eastAsia="en-GB"/>
              </w:rPr>
              <w:t>bjectives for the lesson.</w:t>
            </w:r>
          </w:p>
          <w:p w14:paraId="0F4C5C38" w14:textId="7094AD92" w:rsidR="00AA0584" w:rsidRPr="007E7E69" w:rsidRDefault="00AA0584" w:rsidP="007E7E69">
            <w:pPr>
              <w:pStyle w:val="ListParagraph"/>
              <w:numPr>
                <w:ilvl w:val="0"/>
                <w:numId w:val="5"/>
              </w:numPr>
              <w:ind w:left="452" w:hanging="452"/>
              <w:rPr>
                <w:iCs/>
                <w:noProof/>
                <w:lang w:eastAsia="en-GB"/>
              </w:rPr>
            </w:pPr>
            <w:r w:rsidRPr="007E7E69">
              <w:rPr>
                <w:iCs/>
                <w:noProof/>
                <w:lang w:eastAsia="en-GB"/>
              </w:rPr>
              <w:t xml:space="preserve">Do </w:t>
            </w:r>
            <w:r w:rsidR="00791DBC" w:rsidRPr="007E7E69">
              <w:rPr>
                <w:iCs/>
                <w:noProof/>
                <w:lang w:eastAsia="en-GB"/>
              </w:rPr>
              <w:t xml:space="preserve">learners </w:t>
            </w:r>
            <w:r w:rsidRPr="007E7E69">
              <w:rPr>
                <w:iCs/>
                <w:noProof/>
                <w:lang w:eastAsia="en-GB"/>
              </w:rPr>
              <w:t xml:space="preserve">feel more confident tackling percentage questions now? </w:t>
            </w:r>
          </w:p>
          <w:p w14:paraId="36250949" w14:textId="48C92956" w:rsidR="00AA0584" w:rsidRPr="00FC1B3F" w:rsidRDefault="00C841FB" w:rsidP="007E7E69">
            <w:pPr>
              <w:pStyle w:val="ListParagraph"/>
              <w:numPr>
                <w:ilvl w:val="0"/>
                <w:numId w:val="5"/>
              </w:numPr>
              <w:ind w:left="452" w:hanging="452"/>
            </w:pPr>
            <w:r>
              <w:rPr>
                <w:iCs/>
                <w:noProof/>
                <w:lang w:eastAsia="en-GB"/>
              </w:rPr>
              <w:t>For w</w:t>
            </w:r>
            <w:r w:rsidRPr="007E7E69">
              <w:rPr>
                <w:iCs/>
                <w:noProof/>
                <w:lang w:eastAsia="en-GB"/>
              </w:rPr>
              <w:t xml:space="preserve">hich </w:t>
            </w:r>
            <w:r w:rsidR="00AA0584" w:rsidRPr="007E7E69">
              <w:rPr>
                <w:iCs/>
                <w:noProof/>
                <w:lang w:eastAsia="en-GB"/>
              </w:rPr>
              <w:t xml:space="preserve">questions do they want </w:t>
            </w:r>
            <w:r>
              <w:rPr>
                <w:iCs/>
                <w:noProof/>
                <w:lang w:eastAsia="en-GB"/>
              </w:rPr>
              <w:t xml:space="preserve">more </w:t>
            </w:r>
            <w:r w:rsidR="00ED4176">
              <w:rPr>
                <w:iCs/>
                <w:noProof/>
                <w:lang w:eastAsia="en-GB"/>
              </w:rPr>
              <w:t>practice</w:t>
            </w:r>
            <w:r w:rsidR="00AA0584" w:rsidRPr="007E7E69">
              <w:rPr>
                <w:iCs/>
                <w:noProof/>
                <w:lang w:eastAsia="en-GB"/>
              </w:rPr>
              <w:t>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2BB6B" w14:textId="4D736D82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</w:t>
            </w:r>
            <w:r w:rsidR="00360509">
              <w:rPr>
                <w:rFonts w:ascii="Arial" w:hAnsi="Arial" w:cs="Arial"/>
              </w:rPr>
              <w:t>5</w:t>
            </w:r>
          </w:p>
        </w:tc>
      </w:tr>
    </w:tbl>
    <w:p w14:paraId="1BC8C13F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C637" w14:textId="77777777" w:rsidR="00561509" w:rsidRDefault="00561509" w:rsidP="00E758AE">
      <w:r>
        <w:separator/>
      </w:r>
    </w:p>
  </w:endnote>
  <w:endnote w:type="continuationSeparator" w:id="0">
    <w:p w14:paraId="60A15A2F" w14:textId="77777777" w:rsidR="00561509" w:rsidRDefault="00561509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082A3EC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1B70A7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4CF1CE41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1B70A7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610E" w14:textId="77777777" w:rsidR="00561509" w:rsidRDefault="00561509" w:rsidP="00E758AE">
      <w:r>
        <w:separator/>
      </w:r>
    </w:p>
  </w:footnote>
  <w:footnote w:type="continuationSeparator" w:id="0">
    <w:p w14:paraId="4F0C457B" w14:textId="77777777" w:rsidR="00561509" w:rsidRDefault="00561509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4B6DC37F" w:rsidR="00E758AE" w:rsidRDefault="005129A9" w:rsidP="007E7E69">
    <w:pPr>
      <w:pStyle w:val="Header"/>
      <w:ind w:firstLine="1440"/>
      <w:jc w:val="center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2A179CFB" wp14:editId="4B03A79F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7456" behindDoc="1" locked="0" layoutInCell="1" allowOverlap="1" wp14:anchorId="73704A71" wp14:editId="2F46B9CB">
          <wp:simplePos x="0" y="0"/>
          <wp:positionH relativeFrom="column">
            <wp:posOffset>2505075</wp:posOffset>
          </wp:positionH>
          <wp:positionV relativeFrom="paragraph">
            <wp:posOffset>-201930</wp:posOffset>
          </wp:positionV>
          <wp:extent cx="1504315" cy="565150"/>
          <wp:effectExtent l="0" t="0" r="635" b="6350"/>
          <wp:wrapNone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0D815329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80E0C"/>
    <w:multiLevelType w:val="hybridMultilevel"/>
    <w:tmpl w:val="0E18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5AD"/>
    <w:multiLevelType w:val="hybridMultilevel"/>
    <w:tmpl w:val="5ADC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695D"/>
    <w:multiLevelType w:val="hybridMultilevel"/>
    <w:tmpl w:val="A332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4947"/>
    <w:multiLevelType w:val="hybridMultilevel"/>
    <w:tmpl w:val="E7CE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2C6"/>
    <w:multiLevelType w:val="hybridMultilevel"/>
    <w:tmpl w:val="9DC29288"/>
    <w:lvl w:ilvl="0" w:tplc="D7B83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A01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0B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7CE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AA8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A2E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0A5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4E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004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21592254">
    <w:abstractNumId w:val="2"/>
  </w:num>
  <w:num w:numId="2" w16cid:durableId="1709988544">
    <w:abstractNumId w:val="3"/>
  </w:num>
  <w:num w:numId="3" w16cid:durableId="2082823885">
    <w:abstractNumId w:val="1"/>
  </w:num>
  <w:num w:numId="4" w16cid:durableId="1293631060">
    <w:abstractNumId w:val="0"/>
  </w:num>
  <w:num w:numId="5" w16cid:durableId="403070448">
    <w:abstractNumId w:val="4"/>
  </w:num>
  <w:num w:numId="6" w16cid:durableId="1265728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2617E"/>
    <w:rsid w:val="00033918"/>
    <w:rsid w:val="00037949"/>
    <w:rsid w:val="0009600E"/>
    <w:rsid w:val="000B08D3"/>
    <w:rsid w:val="000F6324"/>
    <w:rsid w:val="0010702A"/>
    <w:rsid w:val="0014725D"/>
    <w:rsid w:val="001520A3"/>
    <w:rsid w:val="001A3807"/>
    <w:rsid w:val="001B70A7"/>
    <w:rsid w:val="00211C0B"/>
    <w:rsid w:val="00242971"/>
    <w:rsid w:val="00270615"/>
    <w:rsid w:val="00360509"/>
    <w:rsid w:val="0037694D"/>
    <w:rsid w:val="003A3581"/>
    <w:rsid w:val="003E1765"/>
    <w:rsid w:val="003E4095"/>
    <w:rsid w:val="00410E09"/>
    <w:rsid w:val="004202CB"/>
    <w:rsid w:val="00462D70"/>
    <w:rsid w:val="00472D96"/>
    <w:rsid w:val="0048453D"/>
    <w:rsid w:val="004C6781"/>
    <w:rsid w:val="004C7EFB"/>
    <w:rsid w:val="004E4329"/>
    <w:rsid w:val="00502945"/>
    <w:rsid w:val="005129A9"/>
    <w:rsid w:val="00523F90"/>
    <w:rsid w:val="00561509"/>
    <w:rsid w:val="005770AC"/>
    <w:rsid w:val="00592C64"/>
    <w:rsid w:val="005F7462"/>
    <w:rsid w:val="006324EF"/>
    <w:rsid w:val="00636C2C"/>
    <w:rsid w:val="00644243"/>
    <w:rsid w:val="0065246D"/>
    <w:rsid w:val="006670FB"/>
    <w:rsid w:val="006844F5"/>
    <w:rsid w:val="006A7AB3"/>
    <w:rsid w:val="007346B8"/>
    <w:rsid w:val="007374CB"/>
    <w:rsid w:val="00755FCE"/>
    <w:rsid w:val="00756558"/>
    <w:rsid w:val="00757896"/>
    <w:rsid w:val="00791DBC"/>
    <w:rsid w:val="007A552B"/>
    <w:rsid w:val="007B6328"/>
    <w:rsid w:val="007E0381"/>
    <w:rsid w:val="007E7E69"/>
    <w:rsid w:val="007F5F22"/>
    <w:rsid w:val="00823C65"/>
    <w:rsid w:val="0087501D"/>
    <w:rsid w:val="008B704D"/>
    <w:rsid w:val="008C5429"/>
    <w:rsid w:val="008E1823"/>
    <w:rsid w:val="008E51B0"/>
    <w:rsid w:val="008E528C"/>
    <w:rsid w:val="00917A7F"/>
    <w:rsid w:val="00920D18"/>
    <w:rsid w:val="00924CA8"/>
    <w:rsid w:val="009446FC"/>
    <w:rsid w:val="00952D99"/>
    <w:rsid w:val="009555C6"/>
    <w:rsid w:val="00965A2D"/>
    <w:rsid w:val="009C22A1"/>
    <w:rsid w:val="009C5B65"/>
    <w:rsid w:val="009F427E"/>
    <w:rsid w:val="00A064E8"/>
    <w:rsid w:val="00A10846"/>
    <w:rsid w:val="00A23E8A"/>
    <w:rsid w:val="00A54390"/>
    <w:rsid w:val="00A564D0"/>
    <w:rsid w:val="00A74CB5"/>
    <w:rsid w:val="00A86065"/>
    <w:rsid w:val="00A95EFD"/>
    <w:rsid w:val="00AA0584"/>
    <w:rsid w:val="00AD3C68"/>
    <w:rsid w:val="00B3144A"/>
    <w:rsid w:val="00B43C68"/>
    <w:rsid w:val="00B50C46"/>
    <w:rsid w:val="00B80DE3"/>
    <w:rsid w:val="00BA0CA5"/>
    <w:rsid w:val="00BA18A2"/>
    <w:rsid w:val="00BE6466"/>
    <w:rsid w:val="00C423F2"/>
    <w:rsid w:val="00C65A3E"/>
    <w:rsid w:val="00C841FB"/>
    <w:rsid w:val="00CA77F5"/>
    <w:rsid w:val="00D35E37"/>
    <w:rsid w:val="00D45000"/>
    <w:rsid w:val="00D52AD0"/>
    <w:rsid w:val="00DB023E"/>
    <w:rsid w:val="00DF10EF"/>
    <w:rsid w:val="00E23BEA"/>
    <w:rsid w:val="00E43641"/>
    <w:rsid w:val="00E758AE"/>
    <w:rsid w:val="00EC6FA2"/>
    <w:rsid w:val="00ED4176"/>
    <w:rsid w:val="00ED778A"/>
    <w:rsid w:val="00EE4D75"/>
    <w:rsid w:val="00F417F3"/>
    <w:rsid w:val="00F9326B"/>
    <w:rsid w:val="00FC1B3F"/>
    <w:rsid w:val="00FE22B6"/>
    <w:rsid w:val="224E058C"/>
    <w:rsid w:val="55E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8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791DBC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AA751-6643-4959-BDD6-12D6D1878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B7DA2-C539-4C96-9248-6BDE0C11CE56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4.xml><?xml version="1.0" encoding="utf-8"?>
<ds:datastoreItem xmlns:ds="http://schemas.openxmlformats.org/officeDocument/2006/customXml" ds:itemID="{BC4DA000-078C-4E7E-982E-7A5154AEA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4</cp:revision>
  <dcterms:created xsi:type="dcterms:W3CDTF">2023-04-06T13:12:00Z</dcterms:created>
  <dcterms:modified xsi:type="dcterms:W3CDTF">2023-04-19T19:55:00Z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